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84506" w14:textId="71B783A8" w:rsidR="00F651A0" w:rsidRPr="003E2B3D" w:rsidRDefault="00010B13" w:rsidP="007E09DA">
      <w:pPr>
        <w:widowControl w:val="0"/>
        <w:spacing w:line="276" w:lineRule="auto"/>
        <w:rPr>
          <w:rFonts w:ascii="Arial" w:hAnsi="Arial" w:cs="Arial"/>
          <w:b/>
          <w:noProof/>
          <w:color w:val="004876"/>
        </w:rPr>
      </w:pPr>
      <w:bookmarkStart w:id="0" w:name="_GoBack"/>
      <w:bookmarkEnd w:id="0"/>
      <w:r w:rsidRPr="003E2B3D">
        <w:rPr>
          <w:rFonts w:ascii="Arial" w:hAnsi="Arial" w:cs="Arial"/>
          <w:b/>
          <w:noProof/>
          <w:color w:val="004876"/>
        </w:rPr>
        <w:drawing>
          <wp:anchor distT="0" distB="0" distL="114300" distR="114300" simplePos="0" relativeHeight="251658240" behindDoc="0" locked="0" layoutInCell="1" allowOverlap="1" wp14:anchorId="027773D4" wp14:editId="2CE2C554">
            <wp:simplePos x="0" y="0"/>
            <wp:positionH relativeFrom="column">
              <wp:posOffset>-190500</wp:posOffset>
            </wp:positionH>
            <wp:positionV relativeFrom="paragraph">
              <wp:posOffset>70485</wp:posOffset>
            </wp:positionV>
            <wp:extent cx="7915275" cy="2723515"/>
            <wp:effectExtent l="0" t="0" r="952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Newsletters\Participant Memos\2019\RPAG\Oct. Memo Graph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15275" cy="2723515"/>
                    </a:xfrm>
                    <a:prstGeom prst="rect">
                      <a:avLst/>
                    </a:prstGeom>
                    <a:solidFill>
                      <a:schemeClr val="accent2">
                        <a:lumMod val="60000"/>
                        <a:lumOff val="40000"/>
                      </a:scheme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D3B86D" w14:textId="2065854C" w:rsidR="00807C5B" w:rsidRPr="004E6268" w:rsidRDefault="00807C5B" w:rsidP="00807C5B">
      <w:pPr>
        <w:widowControl w:val="0"/>
        <w:spacing w:line="276" w:lineRule="auto"/>
        <w:rPr>
          <w:rFonts w:ascii="Arial" w:hAnsi="Arial" w:cs="Arial"/>
          <w:noProof/>
          <w:color w:val="FF0000"/>
          <w:sz w:val="22"/>
          <w:szCs w:val="20"/>
        </w:rPr>
      </w:pPr>
      <w:r w:rsidRPr="00807C5B">
        <w:rPr>
          <w:rFonts w:ascii="Arial" w:hAnsi="Arial" w:cs="Arial"/>
          <w:noProof/>
          <w:sz w:val="22"/>
          <w:szCs w:val="20"/>
        </w:rPr>
        <w:t xml:space="preserve">Retirement is a whole new phase of life. You’ll experience many new things, and you’ll leave others behind – but what you won’t avoid is taxes. If you’ve followed the advice of retirement plan consultants, you’re probably saving in tax-advantaged retirement accounts. These types of accounts defer taxes until withdrawal, and you’ll probably withdraw funds in retirement. Also, you may have to pay taxes on other types of income - Social Security, pension payments, or salary from a part-time job. With that in mind, it makes sense for you to develop a retirement income strategy. </w:t>
      </w:r>
      <w:r w:rsidRPr="00807C5B">
        <w:rPr>
          <w:rFonts w:ascii="Arial" w:hAnsi="Arial" w:cs="Arial"/>
          <w:noProof/>
          <w:sz w:val="22"/>
          <w:szCs w:val="20"/>
        </w:rPr>
        <w:br/>
      </w:r>
    </w:p>
    <w:p w14:paraId="29570BEF" w14:textId="77777777" w:rsidR="00807C5B" w:rsidRPr="00807C5B" w:rsidRDefault="00807C5B" w:rsidP="00807C5B">
      <w:pPr>
        <w:widowControl w:val="0"/>
        <w:spacing w:line="276" w:lineRule="auto"/>
        <w:rPr>
          <w:rFonts w:ascii="Arial" w:hAnsi="Arial" w:cs="Arial"/>
          <w:noProof/>
          <w:sz w:val="22"/>
          <w:szCs w:val="20"/>
        </w:rPr>
      </w:pPr>
      <w:r w:rsidRPr="004E6268">
        <w:rPr>
          <w:rFonts w:ascii="Arial" w:hAnsi="Arial" w:cs="Arial"/>
          <w:b/>
          <w:noProof/>
          <w:color w:val="20436D"/>
          <w:sz w:val="22"/>
          <w:szCs w:val="20"/>
        </w:rPr>
        <w:t>Consider when to start taking Social Security.</w:t>
      </w:r>
      <w:r w:rsidRPr="004E6268">
        <w:rPr>
          <w:rFonts w:ascii="Arial" w:hAnsi="Arial" w:cs="Arial"/>
          <w:noProof/>
          <w:color w:val="FF0000"/>
          <w:sz w:val="22"/>
          <w:szCs w:val="20"/>
        </w:rPr>
        <w:t xml:space="preserve"> </w:t>
      </w:r>
      <w:r w:rsidRPr="00807C5B">
        <w:rPr>
          <w:rFonts w:ascii="Arial" w:hAnsi="Arial" w:cs="Arial"/>
          <w:noProof/>
          <w:sz w:val="22"/>
          <w:szCs w:val="20"/>
        </w:rPr>
        <w:t>The longer you wait to begin your benefits (up to age 70), the greater your benefits will be. Remember, though, that currently up to 85 percent of your Social Security income is considered taxable if your income is over $34,000 each year.</w:t>
      </w:r>
      <w:r w:rsidRPr="00807C5B">
        <w:rPr>
          <w:rFonts w:ascii="Arial" w:hAnsi="Arial" w:cs="Arial"/>
          <w:noProof/>
          <w:sz w:val="22"/>
          <w:szCs w:val="20"/>
        </w:rPr>
        <w:br/>
      </w:r>
    </w:p>
    <w:p w14:paraId="0B719D9A" w14:textId="77777777" w:rsidR="00807C5B" w:rsidRPr="00807C5B" w:rsidRDefault="00807C5B" w:rsidP="00807C5B">
      <w:pPr>
        <w:widowControl w:val="0"/>
        <w:spacing w:line="276" w:lineRule="auto"/>
        <w:rPr>
          <w:rFonts w:ascii="Arial" w:hAnsi="Arial" w:cs="Arial"/>
          <w:noProof/>
          <w:sz w:val="22"/>
          <w:szCs w:val="20"/>
        </w:rPr>
      </w:pPr>
      <w:r w:rsidRPr="008E075F">
        <w:rPr>
          <w:rFonts w:ascii="Arial" w:hAnsi="Arial" w:cs="Arial"/>
          <w:b/>
          <w:noProof/>
          <w:color w:val="20436D"/>
          <w:sz w:val="22"/>
          <w:szCs w:val="20"/>
        </w:rPr>
        <w:t>Be cognizant of what tax bracket you fall into.</w:t>
      </w:r>
      <w:r w:rsidRPr="008E075F">
        <w:rPr>
          <w:rFonts w:ascii="Arial" w:hAnsi="Arial" w:cs="Arial"/>
          <w:noProof/>
          <w:color w:val="20436D"/>
          <w:sz w:val="22"/>
          <w:szCs w:val="20"/>
        </w:rPr>
        <w:t xml:space="preserve"> </w:t>
      </w:r>
      <w:r w:rsidRPr="00807C5B">
        <w:rPr>
          <w:rFonts w:ascii="Arial" w:hAnsi="Arial" w:cs="Arial"/>
          <w:noProof/>
          <w:sz w:val="22"/>
          <w:szCs w:val="20"/>
        </w:rPr>
        <w:t>You may be in a lower tax bracket in retirement, so you’ll want to monitor your income levels (Social Security, pensions, annuity payments) and any withdrawals to make sure you don’t take out so much that you get bumped into a higher bracket.</w:t>
      </w:r>
      <w:r w:rsidRPr="00807C5B">
        <w:rPr>
          <w:rFonts w:ascii="Arial" w:hAnsi="Arial" w:cs="Arial"/>
          <w:noProof/>
          <w:sz w:val="22"/>
          <w:szCs w:val="20"/>
        </w:rPr>
        <w:br/>
      </w:r>
    </w:p>
    <w:p w14:paraId="20B7E541" w14:textId="77777777" w:rsidR="00807C5B" w:rsidRPr="00807C5B" w:rsidRDefault="00807C5B" w:rsidP="00807C5B">
      <w:pPr>
        <w:widowControl w:val="0"/>
        <w:spacing w:line="276" w:lineRule="auto"/>
        <w:rPr>
          <w:rFonts w:ascii="Arial" w:hAnsi="Arial" w:cs="Arial"/>
          <w:noProof/>
          <w:sz w:val="22"/>
          <w:szCs w:val="20"/>
        </w:rPr>
      </w:pPr>
      <w:r w:rsidRPr="008E075F">
        <w:rPr>
          <w:rFonts w:ascii="Arial" w:hAnsi="Arial" w:cs="Arial"/>
          <w:b/>
          <w:noProof/>
          <w:color w:val="20436D"/>
          <w:sz w:val="22"/>
          <w:szCs w:val="20"/>
        </w:rPr>
        <w:t>Think about your withdrawal sequence.</w:t>
      </w:r>
      <w:r w:rsidRPr="008E075F">
        <w:rPr>
          <w:rFonts w:ascii="Arial" w:hAnsi="Arial" w:cs="Arial"/>
          <w:noProof/>
          <w:color w:val="20436D"/>
          <w:sz w:val="22"/>
          <w:szCs w:val="20"/>
        </w:rPr>
        <w:t xml:space="preserve"> </w:t>
      </w:r>
      <w:r w:rsidRPr="00807C5B">
        <w:rPr>
          <w:rFonts w:ascii="Arial" w:hAnsi="Arial" w:cs="Arial"/>
          <w:noProof/>
          <w:sz w:val="22"/>
          <w:szCs w:val="20"/>
        </w:rPr>
        <w:t>Generally speaking, you should take withdrawals in the following order:</w:t>
      </w:r>
      <w:r w:rsidRPr="00807C5B">
        <w:rPr>
          <w:rFonts w:ascii="Arial" w:hAnsi="Arial" w:cs="Arial"/>
          <w:noProof/>
          <w:sz w:val="22"/>
          <w:szCs w:val="20"/>
        </w:rPr>
        <w:br/>
      </w:r>
    </w:p>
    <w:p w14:paraId="49E2ACF4" w14:textId="77777777" w:rsidR="00807C5B" w:rsidRPr="00807C5B" w:rsidRDefault="00807C5B" w:rsidP="00807C5B">
      <w:pPr>
        <w:widowControl w:val="0"/>
        <w:numPr>
          <w:ilvl w:val="0"/>
          <w:numId w:val="2"/>
        </w:numPr>
        <w:spacing w:line="276" w:lineRule="auto"/>
        <w:rPr>
          <w:rFonts w:ascii="Arial" w:hAnsi="Arial" w:cs="Arial"/>
          <w:noProof/>
          <w:sz w:val="22"/>
          <w:szCs w:val="20"/>
        </w:rPr>
      </w:pPr>
      <w:r w:rsidRPr="00807C5B">
        <w:rPr>
          <w:rFonts w:ascii="Arial" w:hAnsi="Arial" w:cs="Arial"/>
          <w:noProof/>
          <w:sz w:val="22"/>
          <w:szCs w:val="20"/>
        </w:rPr>
        <w:t xml:space="preserve">Start with your required minimum distributions (RMDs) from retirement accounts. You’re required to take these after all. </w:t>
      </w:r>
    </w:p>
    <w:p w14:paraId="1811EB47" w14:textId="77777777" w:rsidR="00807C5B" w:rsidRPr="00807C5B" w:rsidRDefault="00807C5B" w:rsidP="00807C5B">
      <w:pPr>
        <w:widowControl w:val="0"/>
        <w:numPr>
          <w:ilvl w:val="0"/>
          <w:numId w:val="2"/>
        </w:numPr>
        <w:spacing w:line="276" w:lineRule="auto"/>
        <w:rPr>
          <w:rFonts w:ascii="Arial" w:hAnsi="Arial" w:cs="Arial"/>
          <w:noProof/>
          <w:sz w:val="22"/>
          <w:szCs w:val="20"/>
        </w:rPr>
      </w:pPr>
      <w:r w:rsidRPr="00807C5B">
        <w:rPr>
          <w:rFonts w:ascii="Arial" w:hAnsi="Arial" w:cs="Arial"/>
          <w:noProof/>
          <w:sz w:val="22"/>
          <w:szCs w:val="20"/>
        </w:rPr>
        <w:t>Since you’re paying taxes on taxable accounts, make this the second fund you withdraw from.</w:t>
      </w:r>
    </w:p>
    <w:p w14:paraId="027BC615" w14:textId="77777777" w:rsidR="00807C5B" w:rsidRPr="00807C5B" w:rsidRDefault="00807C5B" w:rsidP="00807C5B">
      <w:pPr>
        <w:widowControl w:val="0"/>
        <w:numPr>
          <w:ilvl w:val="0"/>
          <w:numId w:val="2"/>
        </w:numPr>
        <w:spacing w:line="276" w:lineRule="auto"/>
        <w:rPr>
          <w:rFonts w:ascii="Arial" w:hAnsi="Arial" w:cs="Arial"/>
          <w:noProof/>
          <w:sz w:val="22"/>
          <w:szCs w:val="20"/>
        </w:rPr>
      </w:pPr>
      <w:r w:rsidRPr="00807C5B">
        <w:rPr>
          <w:rFonts w:ascii="Arial" w:hAnsi="Arial" w:cs="Arial"/>
          <w:noProof/>
          <w:sz w:val="22"/>
          <w:szCs w:val="20"/>
        </w:rPr>
        <w:t>Withdraw from tax-deferred retirement accounts like IRAs, 401(k)s, or 403(b)s third. You’ll pay income tax on withdrawals, but do this before touching Roth accounts.</w:t>
      </w:r>
    </w:p>
    <w:p w14:paraId="616ACB73" w14:textId="77777777" w:rsidR="00807C5B" w:rsidRPr="00807C5B" w:rsidRDefault="00807C5B" w:rsidP="00807C5B">
      <w:pPr>
        <w:widowControl w:val="0"/>
        <w:numPr>
          <w:ilvl w:val="0"/>
          <w:numId w:val="2"/>
        </w:numPr>
        <w:spacing w:line="276" w:lineRule="auto"/>
        <w:rPr>
          <w:rFonts w:ascii="Arial" w:hAnsi="Arial" w:cs="Arial"/>
          <w:noProof/>
          <w:sz w:val="22"/>
          <w:szCs w:val="20"/>
        </w:rPr>
      </w:pPr>
      <w:r w:rsidRPr="00807C5B">
        <w:rPr>
          <w:rFonts w:ascii="Arial" w:hAnsi="Arial" w:cs="Arial"/>
          <w:noProof/>
          <w:sz w:val="22"/>
          <w:szCs w:val="20"/>
        </w:rPr>
        <w:t>Lastly, withdraw from tax-exempt retirement accounts like Roth IRAs or 401(k)s. Saving these  accounts for last makes sense, as you can take withdrawals without tax penalties. These accounts can also be used for estate planning.</w:t>
      </w:r>
    </w:p>
    <w:p w14:paraId="590BE0FB" w14:textId="77777777" w:rsidR="00807C5B" w:rsidRPr="00807C5B" w:rsidRDefault="00807C5B" w:rsidP="00807C5B">
      <w:pPr>
        <w:widowControl w:val="0"/>
        <w:spacing w:line="276" w:lineRule="auto"/>
        <w:rPr>
          <w:rFonts w:ascii="Arial" w:hAnsi="Arial" w:cs="Arial"/>
          <w:noProof/>
          <w:sz w:val="22"/>
          <w:szCs w:val="20"/>
        </w:rPr>
      </w:pPr>
    </w:p>
    <w:p w14:paraId="37C2E4BC" w14:textId="77777777" w:rsidR="00807C5B" w:rsidRPr="00807C5B" w:rsidRDefault="00807C5B" w:rsidP="00807C5B">
      <w:pPr>
        <w:widowControl w:val="0"/>
        <w:spacing w:line="276" w:lineRule="auto"/>
        <w:rPr>
          <w:rFonts w:ascii="Arial" w:hAnsi="Arial" w:cs="Arial"/>
          <w:noProof/>
          <w:sz w:val="22"/>
          <w:szCs w:val="20"/>
        </w:rPr>
      </w:pPr>
      <w:r w:rsidRPr="00807C5B">
        <w:rPr>
          <w:rFonts w:ascii="Arial" w:hAnsi="Arial" w:cs="Arial"/>
          <w:noProof/>
          <w:sz w:val="22"/>
          <w:szCs w:val="20"/>
        </w:rPr>
        <w:lastRenderedPageBreak/>
        <w:t>These factors are complex, and you may want to consult a tax professional to help you apply these tips to your own financial situation. You can test different strategies and see which ones can help you minimize the taxes you’ll pay on your savings and benefits.</w:t>
      </w:r>
      <w:r w:rsidRPr="00807C5B">
        <w:rPr>
          <w:rFonts w:ascii="Arial" w:hAnsi="Arial" w:cs="Arial"/>
          <w:noProof/>
          <w:sz w:val="22"/>
          <w:szCs w:val="20"/>
        </w:rPr>
        <w:br/>
      </w:r>
    </w:p>
    <w:p w14:paraId="4ACDDB2F" w14:textId="78954144" w:rsidR="00FB7F4B" w:rsidRPr="008E075F" w:rsidRDefault="00807C5B" w:rsidP="00807C5B">
      <w:pPr>
        <w:rPr>
          <w:rFonts w:ascii="Arial" w:hAnsi="Arial" w:cs="Arial"/>
          <w:b/>
          <w:color w:val="20436D"/>
          <w:szCs w:val="20"/>
        </w:rPr>
      </w:pPr>
      <w:r w:rsidRPr="008E075F">
        <w:rPr>
          <w:rFonts w:ascii="Arial" w:hAnsi="Arial" w:cs="Arial"/>
          <w:b/>
          <w:noProof/>
          <w:color w:val="20436D"/>
          <w:szCs w:val="20"/>
        </w:rPr>
        <w:t xml:space="preserve">For more information on retirement tax tips, contact </w:t>
      </w:r>
      <w:r w:rsidR="00BF795B" w:rsidRPr="008E075F">
        <w:rPr>
          <w:rFonts w:ascii="Arial" w:hAnsi="Arial" w:cs="Arial"/>
          <w:b/>
          <w:noProof/>
          <w:color w:val="20436D"/>
          <w:szCs w:val="20"/>
        </w:rPr>
        <w:t>Kevin Donahue CRPC® AIF®, with Risen Son Financial</w:t>
      </w:r>
      <w:r w:rsidR="003E2B3D" w:rsidRPr="008E075F">
        <w:rPr>
          <w:rFonts w:ascii="Arial" w:hAnsi="Arial" w:cs="Arial"/>
          <w:b/>
          <w:color w:val="20436D"/>
          <w:szCs w:val="20"/>
        </w:rPr>
        <w:t xml:space="preserve">, at </w:t>
      </w:r>
      <w:r w:rsidR="00BF795B" w:rsidRPr="008E075F">
        <w:rPr>
          <w:rFonts w:ascii="Arial" w:hAnsi="Arial" w:cs="Arial"/>
          <w:b/>
          <w:color w:val="20436D"/>
          <w:szCs w:val="20"/>
        </w:rPr>
        <w:t>813-512-2746</w:t>
      </w:r>
      <w:r w:rsidR="003E2B3D" w:rsidRPr="008E075F">
        <w:rPr>
          <w:rFonts w:ascii="Arial" w:hAnsi="Arial" w:cs="Arial"/>
          <w:b/>
          <w:color w:val="20436D"/>
          <w:szCs w:val="20"/>
        </w:rPr>
        <w:t xml:space="preserve"> or </w:t>
      </w:r>
      <w:r w:rsidR="00BF795B" w:rsidRPr="008E075F">
        <w:rPr>
          <w:rFonts w:ascii="Arial" w:hAnsi="Arial" w:cs="Arial"/>
          <w:b/>
          <w:color w:val="20436D"/>
          <w:szCs w:val="20"/>
        </w:rPr>
        <w:t>kevin@risensonfinancial.com</w:t>
      </w:r>
    </w:p>
    <w:p w14:paraId="565E8093" w14:textId="1C759D6E" w:rsidR="00D43801" w:rsidRDefault="00D43801">
      <w:pPr>
        <w:rPr>
          <w:rFonts w:ascii="Arial" w:hAnsi="Arial" w:cs="Arial"/>
          <w:color w:val="FF5B35" w:themeColor="accent1"/>
          <w:sz w:val="28"/>
        </w:rPr>
      </w:pPr>
    </w:p>
    <w:p w14:paraId="67253A4F" w14:textId="1A3ACF21" w:rsidR="00866323" w:rsidRDefault="00866323">
      <w:pPr>
        <w:rPr>
          <w:rFonts w:ascii="Arial" w:hAnsi="Arial" w:cs="Arial"/>
          <w:color w:val="FF5B35" w:themeColor="accent1"/>
          <w:sz w:val="28"/>
        </w:rPr>
      </w:pPr>
    </w:p>
    <w:p w14:paraId="5D28E414" w14:textId="04C2AADC" w:rsidR="00866323" w:rsidRDefault="00866323">
      <w:pPr>
        <w:rPr>
          <w:rFonts w:ascii="Arial" w:hAnsi="Arial" w:cs="Arial"/>
          <w:color w:val="FF5B35" w:themeColor="accent1"/>
          <w:sz w:val="28"/>
        </w:rPr>
      </w:pPr>
    </w:p>
    <w:p w14:paraId="3B217A5C" w14:textId="0E5FFD5B" w:rsidR="00866323" w:rsidRDefault="00866323">
      <w:pPr>
        <w:rPr>
          <w:rFonts w:ascii="Arial" w:hAnsi="Arial" w:cs="Arial"/>
          <w:color w:val="FF5B35" w:themeColor="accent1"/>
          <w:sz w:val="28"/>
        </w:rPr>
      </w:pPr>
    </w:p>
    <w:p w14:paraId="13874F0C" w14:textId="48F041AC" w:rsidR="00866323" w:rsidRDefault="00866323">
      <w:pPr>
        <w:rPr>
          <w:rFonts w:ascii="Arial" w:hAnsi="Arial" w:cs="Arial"/>
          <w:color w:val="FF5B35" w:themeColor="accent1"/>
          <w:sz w:val="28"/>
        </w:rPr>
      </w:pPr>
    </w:p>
    <w:p w14:paraId="441433CF" w14:textId="56145B3F" w:rsidR="00866323" w:rsidRDefault="00866323">
      <w:pPr>
        <w:rPr>
          <w:rFonts w:ascii="Arial" w:hAnsi="Arial" w:cs="Arial"/>
          <w:color w:val="FF5B35" w:themeColor="accent1"/>
          <w:sz w:val="28"/>
        </w:rPr>
      </w:pPr>
    </w:p>
    <w:p w14:paraId="65FD71ED" w14:textId="47087C78" w:rsidR="00866323" w:rsidRDefault="00866323">
      <w:pPr>
        <w:rPr>
          <w:rFonts w:ascii="Arial" w:hAnsi="Arial" w:cs="Arial"/>
          <w:color w:val="FF5B35" w:themeColor="accent1"/>
          <w:sz w:val="28"/>
        </w:rPr>
      </w:pPr>
    </w:p>
    <w:p w14:paraId="2B9BEC99" w14:textId="17D07DBB" w:rsidR="00866323" w:rsidRDefault="00866323">
      <w:pPr>
        <w:rPr>
          <w:rFonts w:ascii="Arial" w:hAnsi="Arial" w:cs="Arial"/>
          <w:color w:val="FF5B35" w:themeColor="accent1"/>
          <w:sz w:val="28"/>
        </w:rPr>
      </w:pPr>
    </w:p>
    <w:p w14:paraId="347421BC" w14:textId="663F08FA" w:rsidR="00866323" w:rsidRDefault="00866323">
      <w:pPr>
        <w:rPr>
          <w:rFonts w:ascii="Arial" w:hAnsi="Arial" w:cs="Arial"/>
          <w:color w:val="FF5B35" w:themeColor="accent1"/>
          <w:sz w:val="28"/>
        </w:rPr>
      </w:pPr>
    </w:p>
    <w:p w14:paraId="1B485D4D" w14:textId="42301DD4" w:rsidR="00866323" w:rsidRDefault="00866323">
      <w:pPr>
        <w:rPr>
          <w:rFonts w:ascii="Arial" w:hAnsi="Arial" w:cs="Arial"/>
          <w:color w:val="FF5B35" w:themeColor="accent1"/>
          <w:sz w:val="28"/>
        </w:rPr>
      </w:pPr>
    </w:p>
    <w:p w14:paraId="4AF51319" w14:textId="36EA920E" w:rsidR="00866323" w:rsidRDefault="00866323">
      <w:pPr>
        <w:rPr>
          <w:rFonts w:ascii="Arial" w:hAnsi="Arial" w:cs="Arial"/>
          <w:color w:val="FF5B35" w:themeColor="accent1"/>
          <w:sz w:val="28"/>
        </w:rPr>
      </w:pPr>
    </w:p>
    <w:p w14:paraId="5FF1F31C" w14:textId="600852B6" w:rsidR="00866323" w:rsidRDefault="00866323">
      <w:pPr>
        <w:rPr>
          <w:rFonts w:ascii="Arial" w:hAnsi="Arial" w:cs="Arial"/>
          <w:color w:val="FF5B35" w:themeColor="accent1"/>
          <w:sz w:val="28"/>
        </w:rPr>
      </w:pPr>
    </w:p>
    <w:p w14:paraId="3A59EC48" w14:textId="26CA49AB" w:rsidR="00866323" w:rsidRDefault="00866323">
      <w:pPr>
        <w:rPr>
          <w:rFonts w:ascii="Arial" w:hAnsi="Arial" w:cs="Arial"/>
          <w:color w:val="FF5B35" w:themeColor="accent1"/>
          <w:sz w:val="28"/>
        </w:rPr>
      </w:pPr>
    </w:p>
    <w:p w14:paraId="3978F1D9" w14:textId="6FE2EBAB" w:rsidR="00866323" w:rsidRDefault="00866323">
      <w:pPr>
        <w:rPr>
          <w:rFonts w:ascii="Arial" w:hAnsi="Arial" w:cs="Arial"/>
          <w:color w:val="FF5B35" w:themeColor="accent1"/>
          <w:sz w:val="28"/>
        </w:rPr>
      </w:pPr>
    </w:p>
    <w:p w14:paraId="6F77F727" w14:textId="68519312" w:rsidR="00866323" w:rsidRDefault="00866323">
      <w:pPr>
        <w:rPr>
          <w:rFonts w:ascii="Arial" w:hAnsi="Arial" w:cs="Arial"/>
          <w:color w:val="FF5B35" w:themeColor="accent1"/>
          <w:sz w:val="28"/>
        </w:rPr>
      </w:pPr>
    </w:p>
    <w:p w14:paraId="1C83F5C7" w14:textId="0D789DC6" w:rsidR="00866323" w:rsidRDefault="00866323">
      <w:pPr>
        <w:rPr>
          <w:rFonts w:ascii="Arial" w:hAnsi="Arial" w:cs="Arial"/>
          <w:color w:val="FF5B35" w:themeColor="accent1"/>
          <w:sz w:val="28"/>
        </w:rPr>
      </w:pPr>
    </w:p>
    <w:p w14:paraId="67497D88" w14:textId="0961CAFD" w:rsidR="00866323" w:rsidRDefault="00866323">
      <w:pPr>
        <w:rPr>
          <w:rFonts w:ascii="Arial" w:hAnsi="Arial" w:cs="Arial"/>
          <w:color w:val="FF5B35" w:themeColor="accent1"/>
          <w:sz w:val="28"/>
        </w:rPr>
      </w:pPr>
    </w:p>
    <w:p w14:paraId="07B4F3B3" w14:textId="43F5DED0" w:rsidR="00866323" w:rsidRDefault="00866323">
      <w:pPr>
        <w:rPr>
          <w:rFonts w:ascii="Arial" w:hAnsi="Arial" w:cs="Arial"/>
          <w:color w:val="FF5B35" w:themeColor="accent1"/>
          <w:sz w:val="28"/>
        </w:rPr>
      </w:pPr>
    </w:p>
    <w:p w14:paraId="4A71A1A9" w14:textId="0453B0E8" w:rsidR="00866323" w:rsidRDefault="00866323">
      <w:pPr>
        <w:rPr>
          <w:rFonts w:ascii="Arial" w:hAnsi="Arial" w:cs="Arial"/>
          <w:color w:val="FF5B35" w:themeColor="accent1"/>
          <w:sz w:val="28"/>
        </w:rPr>
      </w:pPr>
    </w:p>
    <w:p w14:paraId="19B665F6" w14:textId="05725242" w:rsidR="00866323" w:rsidRDefault="00866323">
      <w:pPr>
        <w:rPr>
          <w:rFonts w:ascii="Arial" w:hAnsi="Arial" w:cs="Arial"/>
          <w:color w:val="FF5B35" w:themeColor="accent1"/>
          <w:sz w:val="28"/>
        </w:rPr>
      </w:pPr>
    </w:p>
    <w:p w14:paraId="0DCA50D2" w14:textId="258B4D86" w:rsidR="00866323" w:rsidRDefault="00866323">
      <w:pPr>
        <w:rPr>
          <w:rFonts w:ascii="Arial" w:hAnsi="Arial" w:cs="Arial"/>
          <w:color w:val="FF5B35" w:themeColor="accent1"/>
          <w:sz w:val="28"/>
        </w:rPr>
      </w:pPr>
    </w:p>
    <w:p w14:paraId="6C29E139" w14:textId="1DB235DB" w:rsidR="00866323" w:rsidRDefault="00866323">
      <w:pPr>
        <w:rPr>
          <w:rFonts w:ascii="Arial" w:hAnsi="Arial" w:cs="Arial"/>
          <w:color w:val="FF5B35" w:themeColor="accent1"/>
          <w:sz w:val="28"/>
        </w:rPr>
      </w:pPr>
    </w:p>
    <w:p w14:paraId="04989CAF" w14:textId="77777777" w:rsidR="00866323" w:rsidRDefault="00866323" w:rsidP="00866323">
      <w:pPr>
        <w:rPr>
          <w:rFonts w:ascii="Arial" w:hAnsi="Arial" w:cs="Arial"/>
          <w:sz w:val="22"/>
          <w:szCs w:val="22"/>
        </w:rPr>
      </w:pPr>
    </w:p>
    <w:p w14:paraId="69682484" w14:textId="77777777" w:rsidR="00866323" w:rsidRDefault="00866323" w:rsidP="00866323">
      <w:pPr>
        <w:rPr>
          <w:rFonts w:ascii="Arial" w:hAnsi="Arial" w:cs="Arial"/>
          <w:sz w:val="22"/>
          <w:szCs w:val="22"/>
        </w:rPr>
      </w:pPr>
    </w:p>
    <w:p w14:paraId="6B784687" w14:textId="6DBF929B" w:rsidR="00866323" w:rsidRPr="00866323" w:rsidRDefault="00866323" w:rsidP="00866323">
      <w:pPr>
        <w:rPr>
          <w:rFonts w:ascii="Arial" w:hAnsi="Arial" w:cs="Arial"/>
          <w:sz w:val="22"/>
          <w:szCs w:val="22"/>
        </w:rPr>
      </w:pPr>
      <w:r w:rsidRPr="00866323">
        <w:rPr>
          <w:rFonts w:ascii="Arial" w:hAnsi="Arial" w:cs="Arial"/>
          <w:sz w:val="22"/>
          <w:szCs w:val="22"/>
        </w:rPr>
        <w:t xml:space="preserve">The information given herein is taken from sources that I FP Advisors, LLC, dba Independent Financial Partners (IFP), IFP Securities LLC, dba Independent Financial Partners (IFP), and its advisors believe to be reliable, but it is not guaranteed by us as to accuracy or completeness. This is for informational purposes only and in no event should be construed as an offer to sell or solicitation of an offer to buy any securities or products. Please consult your tax and/or legal advisor before implementing any tax and/or legal related strategies mentioned in this publication as IFP does not provide tax and/or legal advice. Opinions expressed are subject to change without notice and do not </w:t>
      </w:r>
      <w:proofErr w:type="gramStart"/>
      <w:r w:rsidRPr="00866323">
        <w:rPr>
          <w:rFonts w:ascii="Arial" w:hAnsi="Arial" w:cs="Arial"/>
          <w:sz w:val="22"/>
          <w:szCs w:val="22"/>
        </w:rPr>
        <w:t>take into account</w:t>
      </w:r>
      <w:proofErr w:type="gramEnd"/>
      <w:r w:rsidRPr="00866323">
        <w:rPr>
          <w:rFonts w:ascii="Arial" w:hAnsi="Arial" w:cs="Arial"/>
          <w:sz w:val="22"/>
          <w:szCs w:val="22"/>
        </w:rPr>
        <w:t xml:space="preserve"> the particular investment objectives, financial situation, or needs of individual investors. This report may not be reproduced, distributed, or published by any person for any purpose without I FP's express prior written consent.</w:t>
      </w:r>
    </w:p>
    <w:sectPr w:rsidR="00866323" w:rsidRPr="00866323" w:rsidSect="00807C5B">
      <w:headerReference w:type="default" r:id="rId9"/>
      <w:footerReference w:type="default" r:id="rId10"/>
      <w:headerReference w:type="first" r:id="rId11"/>
      <w:footerReference w:type="first" r:id="rId12"/>
      <w:pgSz w:w="12240" w:h="15840"/>
      <w:pgMar w:top="1584"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16102" w14:textId="77777777" w:rsidR="00FA2C34" w:rsidRDefault="00FA2C34" w:rsidP="00F651A0">
      <w:r>
        <w:separator/>
      </w:r>
    </w:p>
    <w:p w14:paraId="5FD33F4C" w14:textId="77777777" w:rsidR="00FA2C34" w:rsidRDefault="00FA2C34"/>
    <w:p w14:paraId="463041F1" w14:textId="77777777" w:rsidR="00FA2C34" w:rsidRPr="00010B13" w:rsidRDefault="00FA2C34">
      <w:pPr>
        <w:rPr>
          <w:sz w:val="20"/>
          <w:szCs w:val="20"/>
        </w:rPr>
      </w:pPr>
    </w:p>
  </w:endnote>
  <w:endnote w:type="continuationSeparator" w:id="0">
    <w:p w14:paraId="7B52D34A" w14:textId="77777777" w:rsidR="00FA2C34" w:rsidRDefault="00FA2C34" w:rsidP="00F651A0">
      <w:r>
        <w:continuationSeparator/>
      </w:r>
    </w:p>
    <w:p w14:paraId="3380C07C" w14:textId="77777777" w:rsidR="00FA2C34" w:rsidRDefault="00FA2C34"/>
    <w:p w14:paraId="6D651F99" w14:textId="77777777" w:rsidR="00FA2C34" w:rsidRPr="00010B13" w:rsidRDefault="00FA2C34">
      <w:pPr>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90FF0" w14:textId="77777777" w:rsidR="003D2276" w:rsidRDefault="00BF795B">
    <w:pPr>
      <w:pStyle w:val="Footer"/>
      <w:rPr>
        <w:rFonts w:ascii="Arial" w:hAnsi="Arial" w:cs="Arial"/>
      </w:rPr>
    </w:pPr>
    <w:r w:rsidRPr="00BF795B">
      <w:rPr>
        <w:rFonts w:ascii="Arial" w:hAnsi="Arial" w:cs="Arial"/>
      </w:rPr>
      <w:t xml:space="preserve">Investment advice offered through IFP Advisors, LLC, dba Independent Financial Partners (IFP), a Registered Investment Adviser. IFP and Risen Son Financial are not affiliated. </w:t>
    </w:r>
  </w:p>
  <w:p w14:paraId="41DD3F47" w14:textId="77777777" w:rsidR="003D2276" w:rsidRDefault="003D2276">
    <w:pPr>
      <w:pStyle w:val="Footer"/>
      <w:rPr>
        <w:rFonts w:ascii="Arial" w:hAnsi="Arial" w:cs="Arial"/>
      </w:rPr>
    </w:pPr>
  </w:p>
  <w:p w14:paraId="517D39D7" w14:textId="16B53C76" w:rsidR="00BF7539" w:rsidRPr="00BF7539" w:rsidRDefault="00E9536E">
    <w:pPr>
      <w:pStyle w:val="Footer"/>
      <w:rPr>
        <w:rFonts w:ascii="Arial" w:hAnsi="Arial" w:cs="Arial"/>
      </w:rPr>
    </w:pPr>
    <w:r w:rsidRPr="00BF795B">
      <w:rPr>
        <w:rFonts w:ascii="Arial" w:hAnsi="Arial" w:cs="Arial"/>
        <w:sz w:val="18"/>
        <w:szCs w:val="18"/>
      </w:rPr>
      <w:t>ACR# 330114 10/19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3869A" w14:textId="77777777" w:rsidR="00A05DE8" w:rsidRDefault="00A05DE8" w:rsidP="00A05DE8">
    <w:pPr>
      <w:pStyle w:val="Footer"/>
      <w:jc w:val="right"/>
    </w:pPr>
    <w:r w:rsidRPr="00A05DE8">
      <w:rPr>
        <w:rFonts w:ascii="Arial" w:hAnsi="Arial" w:cs="Arial"/>
        <w:noProof/>
      </w:rPr>
      <mc:AlternateContent>
        <mc:Choice Requires="wps">
          <w:drawing>
            <wp:anchor distT="0" distB="0" distL="114300" distR="114300" simplePos="0" relativeHeight="251661312" behindDoc="0" locked="0" layoutInCell="1" allowOverlap="1" wp14:anchorId="3A7A5609" wp14:editId="02436F50">
              <wp:simplePos x="0" y="0"/>
              <wp:positionH relativeFrom="margin">
                <wp:align>right</wp:align>
              </wp:positionH>
              <wp:positionV relativeFrom="paragraph">
                <wp:posOffset>0</wp:posOffset>
              </wp:positionV>
              <wp:extent cx="286439" cy="231354"/>
              <wp:effectExtent l="8573" t="0" r="7937" b="7938"/>
              <wp:wrapNone/>
              <wp:docPr id="16" name="Isosceles Triangle 16"/>
              <wp:cNvGraphicFramePr/>
              <a:graphic xmlns:a="http://schemas.openxmlformats.org/drawingml/2006/main">
                <a:graphicData uri="http://schemas.microsoft.com/office/word/2010/wordprocessingShape">
                  <wps:wsp>
                    <wps:cNvSpPr/>
                    <wps:spPr>
                      <a:xfrm rot="5400000">
                        <a:off x="0" y="0"/>
                        <a:ext cx="286439" cy="231354"/>
                      </a:xfrm>
                      <a:prstGeom prst="triangle">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6084D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 o:spid="_x0000_s1026" type="#_x0000_t5" style="position:absolute;margin-left:-28.65pt;margin-top:0;width:22.55pt;height:18.2pt;rotation:90;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" fillcolor="#d2d0cd [3214]" stroked="f" strokeweight="1pt">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79814" w14:textId="77777777" w:rsidR="00FA2C34" w:rsidRDefault="00FA2C34" w:rsidP="00F651A0">
      <w:r>
        <w:separator/>
      </w:r>
    </w:p>
    <w:p w14:paraId="7D81DE86" w14:textId="77777777" w:rsidR="00FA2C34" w:rsidRDefault="00FA2C34"/>
    <w:p w14:paraId="7A42C1C6" w14:textId="77777777" w:rsidR="00FA2C34" w:rsidRPr="00010B13" w:rsidRDefault="00FA2C34">
      <w:pPr>
        <w:rPr>
          <w:sz w:val="20"/>
          <w:szCs w:val="20"/>
        </w:rPr>
      </w:pPr>
    </w:p>
  </w:footnote>
  <w:footnote w:type="continuationSeparator" w:id="0">
    <w:p w14:paraId="12211035" w14:textId="77777777" w:rsidR="00FA2C34" w:rsidRDefault="00FA2C34" w:rsidP="00F651A0">
      <w:r>
        <w:continuationSeparator/>
      </w:r>
    </w:p>
    <w:p w14:paraId="19778E82" w14:textId="77777777" w:rsidR="00FA2C34" w:rsidRDefault="00FA2C34"/>
    <w:p w14:paraId="1AA2CF1F" w14:textId="77777777" w:rsidR="00FA2C34" w:rsidRPr="00010B13" w:rsidRDefault="00FA2C34">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607D" w14:textId="77777777" w:rsidR="003E2B3D" w:rsidRDefault="003E2B3D">
    <w:pPr>
      <w:pStyle w:val="Header"/>
    </w:pPr>
  </w:p>
  <w:tbl>
    <w:tblPr>
      <w:tblStyle w:val="TableGrid"/>
      <w:tblW w:w="0" w:type="auto"/>
      <w:tblBorders>
        <w:top w:val="single" w:sz="4" w:space="0" w:color="99999A" w:themeColor="text2"/>
        <w:left w:val="none" w:sz="0" w:space="0" w:color="auto"/>
        <w:bottom w:val="single" w:sz="4" w:space="0" w:color="99999A" w:themeColor="text2"/>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E2B3D" w:rsidRPr="003E2B3D" w14:paraId="47C8DD59" w14:textId="77777777" w:rsidTr="003E2B3D">
      <w:trPr>
        <w:trHeight w:val="441"/>
      </w:trPr>
      <w:tc>
        <w:tcPr>
          <w:tcW w:w="5395" w:type="dxa"/>
          <w:vAlign w:val="center"/>
        </w:tcPr>
        <w:p w14:paraId="0B1D6298" w14:textId="77777777" w:rsidR="003E2B3D" w:rsidRPr="003E2B3D" w:rsidRDefault="003E2B3D" w:rsidP="003E2B3D">
          <w:pPr>
            <w:pStyle w:val="Header"/>
            <w:rPr>
              <w:rFonts w:ascii="Arial" w:hAnsi="Arial" w:cs="Arial"/>
            </w:rPr>
          </w:pPr>
        </w:p>
      </w:tc>
      <w:tc>
        <w:tcPr>
          <w:tcW w:w="5395" w:type="dxa"/>
          <w:vAlign w:val="center"/>
        </w:tcPr>
        <w:sdt>
          <w:sdtPr>
            <w:rPr>
              <w:rFonts w:ascii="Arial" w:hAnsi="Arial" w:cs="Arial"/>
            </w:rPr>
            <w:id w:val="98381352"/>
            <w:docPartObj>
              <w:docPartGallery w:val="Page Numbers (Top of Page)"/>
              <w:docPartUnique/>
            </w:docPartObj>
          </w:sdtPr>
          <w:sdtEndPr/>
          <w:sdtContent>
            <w:p w14:paraId="015C2A21" w14:textId="77777777" w:rsidR="003E2B3D" w:rsidRPr="003E2B3D" w:rsidRDefault="003E2B3D" w:rsidP="003E2B3D">
              <w:pPr>
                <w:pStyle w:val="Header"/>
                <w:jc w:val="right"/>
                <w:rPr>
                  <w:rFonts w:ascii="Arial" w:hAnsi="Arial" w:cs="Arial"/>
                </w:rPr>
              </w:pPr>
              <w:r w:rsidRPr="003E2B3D">
                <w:rPr>
                  <w:rFonts w:ascii="Arial" w:hAnsi="Arial" w:cs="Arial"/>
                </w:rPr>
                <w:t xml:space="preserve">Page </w:t>
              </w:r>
              <w:r w:rsidRPr="003E2B3D">
                <w:rPr>
                  <w:rFonts w:ascii="Arial" w:hAnsi="Arial" w:cs="Arial"/>
                  <w:bCs/>
                </w:rPr>
                <w:fldChar w:fldCharType="begin"/>
              </w:r>
              <w:r w:rsidRPr="003E2B3D">
                <w:rPr>
                  <w:rFonts w:ascii="Arial" w:hAnsi="Arial" w:cs="Arial"/>
                  <w:bCs/>
                </w:rPr>
                <w:instrText xml:space="preserve"> PAGE </w:instrText>
              </w:r>
              <w:r w:rsidRPr="003E2B3D">
                <w:rPr>
                  <w:rFonts w:ascii="Arial" w:hAnsi="Arial" w:cs="Arial"/>
                  <w:bCs/>
                </w:rPr>
                <w:fldChar w:fldCharType="separate"/>
              </w:r>
              <w:r w:rsidR="00F011DA">
                <w:rPr>
                  <w:rFonts w:ascii="Arial" w:hAnsi="Arial" w:cs="Arial"/>
                  <w:bCs/>
                  <w:noProof/>
                </w:rPr>
                <w:t>2</w:t>
              </w:r>
              <w:r w:rsidRPr="003E2B3D">
                <w:rPr>
                  <w:rFonts w:ascii="Arial" w:hAnsi="Arial" w:cs="Arial"/>
                  <w:bCs/>
                </w:rPr>
                <w:fldChar w:fldCharType="end"/>
              </w:r>
              <w:r w:rsidRPr="003E2B3D">
                <w:rPr>
                  <w:rFonts w:ascii="Arial" w:hAnsi="Arial" w:cs="Arial"/>
                </w:rPr>
                <w:t xml:space="preserve"> of </w:t>
              </w:r>
              <w:r w:rsidRPr="003E2B3D">
                <w:rPr>
                  <w:rFonts w:ascii="Arial" w:hAnsi="Arial" w:cs="Arial"/>
                  <w:bCs/>
                </w:rPr>
                <w:fldChar w:fldCharType="begin"/>
              </w:r>
              <w:r w:rsidRPr="003E2B3D">
                <w:rPr>
                  <w:rFonts w:ascii="Arial" w:hAnsi="Arial" w:cs="Arial"/>
                  <w:bCs/>
                </w:rPr>
                <w:instrText xml:space="preserve"> NUMPAGES  </w:instrText>
              </w:r>
              <w:r w:rsidRPr="003E2B3D">
                <w:rPr>
                  <w:rFonts w:ascii="Arial" w:hAnsi="Arial" w:cs="Arial"/>
                  <w:bCs/>
                </w:rPr>
                <w:fldChar w:fldCharType="separate"/>
              </w:r>
              <w:r w:rsidR="00F011DA">
                <w:rPr>
                  <w:rFonts w:ascii="Arial" w:hAnsi="Arial" w:cs="Arial"/>
                  <w:bCs/>
                  <w:noProof/>
                </w:rPr>
                <w:t>2</w:t>
              </w:r>
              <w:r w:rsidRPr="003E2B3D">
                <w:rPr>
                  <w:rFonts w:ascii="Arial" w:hAnsi="Arial" w:cs="Arial"/>
                  <w:bCs/>
                </w:rPr>
                <w:fldChar w:fldCharType="end"/>
              </w:r>
            </w:p>
          </w:sdtContent>
        </w:sdt>
      </w:tc>
    </w:tr>
  </w:tbl>
  <w:p w14:paraId="7FE0835C" w14:textId="77777777" w:rsidR="00364371" w:rsidRDefault="00364371">
    <w:pPr>
      <w:pStyle w:val="Header"/>
    </w:pPr>
  </w:p>
  <w:p w14:paraId="64C11C37" w14:textId="77777777" w:rsidR="00726CAA" w:rsidRDefault="00726CAA"/>
  <w:p w14:paraId="606A9275" w14:textId="77777777" w:rsidR="00726CAA" w:rsidRPr="00010B13" w:rsidRDefault="00726CAA">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CB2B8" w14:textId="77777777" w:rsidR="00364371" w:rsidRDefault="00364371">
    <w:pPr>
      <w:pStyle w:val="Header"/>
    </w:pPr>
    <w:r>
      <w:rPr>
        <w:noProof/>
      </w:rPr>
      <w:drawing>
        <wp:anchor distT="0" distB="0" distL="114300" distR="114300" simplePos="0" relativeHeight="251662336" behindDoc="0" locked="0" layoutInCell="1" allowOverlap="1" wp14:anchorId="2FE943E2" wp14:editId="120132D4">
          <wp:simplePos x="0" y="0"/>
          <wp:positionH relativeFrom="margin">
            <wp:posOffset>-114300</wp:posOffset>
          </wp:positionH>
          <wp:positionV relativeFrom="page">
            <wp:posOffset>-285750</wp:posOffset>
          </wp:positionV>
          <wp:extent cx="1590675" cy="10668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AG_primary_color"/>
                  <pic:cNvPicPr>
                    <a:picLocks noChangeAspect="1" noChangeArrowheads="1"/>
                  </pic:cNvPicPr>
                </pic:nvPicPr>
                <pic:blipFill rotWithShape="1">
                  <a:blip r:embed="rId1">
                    <a:extLst>
                      <a:ext uri="{28A0092B-C50C-407E-A947-70E740481C1C}">
                        <a14:useLocalDpi xmlns:a14="http://schemas.microsoft.com/office/drawing/2010/main" val="0"/>
                      </a:ext>
                    </a:extLst>
                  </a:blip>
                  <a:srcRect l="15080" r="14968" b="30864"/>
                  <a:stretch/>
                </pic:blipFill>
                <pic:spPr bwMode="auto">
                  <a:xfrm>
                    <a:off x="0" y="0"/>
                    <a:ext cx="1590675"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A31DF6"/>
    <w:multiLevelType w:val="hybridMultilevel"/>
    <w:tmpl w:val="5636BA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62050D"/>
    <w:multiLevelType w:val="hybridMultilevel"/>
    <w:tmpl w:val="AB0C591E"/>
    <w:lvl w:ilvl="0" w:tplc="9DD816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9DA"/>
    <w:rsid w:val="00010B13"/>
    <w:rsid w:val="0006432D"/>
    <w:rsid w:val="00162540"/>
    <w:rsid w:val="00182809"/>
    <w:rsid w:val="0018531E"/>
    <w:rsid w:val="001C315C"/>
    <w:rsid w:val="00364371"/>
    <w:rsid w:val="003D2276"/>
    <w:rsid w:val="003D411E"/>
    <w:rsid w:val="003E2B3D"/>
    <w:rsid w:val="004508AA"/>
    <w:rsid w:val="004E6268"/>
    <w:rsid w:val="00567FFC"/>
    <w:rsid w:val="006510CE"/>
    <w:rsid w:val="00726CAA"/>
    <w:rsid w:val="007A0BB1"/>
    <w:rsid w:val="007E09DA"/>
    <w:rsid w:val="00807C5B"/>
    <w:rsid w:val="00825EDF"/>
    <w:rsid w:val="00866323"/>
    <w:rsid w:val="008E075F"/>
    <w:rsid w:val="008E1CF5"/>
    <w:rsid w:val="00954FFB"/>
    <w:rsid w:val="00A05DE8"/>
    <w:rsid w:val="00AF0A2D"/>
    <w:rsid w:val="00B00B8F"/>
    <w:rsid w:val="00B15F3F"/>
    <w:rsid w:val="00BE3025"/>
    <w:rsid w:val="00BF7539"/>
    <w:rsid w:val="00BF795B"/>
    <w:rsid w:val="00CA506D"/>
    <w:rsid w:val="00D06E88"/>
    <w:rsid w:val="00D43801"/>
    <w:rsid w:val="00D860FB"/>
    <w:rsid w:val="00E9536E"/>
    <w:rsid w:val="00EE1D1E"/>
    <w:rsid w:val="00F011DA"/>
    <w:rsid w:val="00F651A0"/>
    <w:rsid w:val="00FA2C34"/>
    <w:rsid w:val="00FB7F4B"/>
    <w:rsid w:val="00FC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41A7D"/>
  <w15:docId w15:val="{66D02C6B-127C-46EE-BD6E-CECB6CA3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1A0"/>
    <w:pPr>
      <w:tabs>
        <w:tab w:val="center" w:pos="4680"/>
        <w:tab w:val="right" w:pos="9360"/>
      </w:tabs>
    </w:pPr>
  </w:style>
  <w:style w:type="character" w:customStyle="1" w:styleId="HeaderChar">
    <w:name w:val="Header Char"/>
    <w:basedOn w:val="DefaultParagraphFont"/>
    <w:link w:val="Header"/>
    <w:uiPriority w:val="99"/>
    <w:rsid w:val="00F651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51A0"/>
    <w:pPr>
      <w:tabs>
        <w:tab w:val="center" w:pos="4680"/>
        <w:tab w:val="right" w:pos="9360"/>
      </w:tabs>
    </w:pPr>
  </w:style>
  <w:style w:type="character" w:customStyle="1" w:styleId="FooterChar">
    <w:name w:val="Footer Char"/>
    <w:basedOn w:val="DefaultParagraphFont"/>
    <w:link w:val="Footer"/>
    <w:uiPriority w:val="99"/>
    <w:rsid w:val="00F651A0"/>
    <w:rPr>
      <w:rFonts w:ascii="Times New Roman" w:eastAsia="Times New Roman" w:hAnsi="Times New Roman" w:cs="Times New Roman"/>
      <w:sz w:val="24"/>
      <w:szCs w:val="24"/>
    </w:rPr>
  </w:style>
  <w:style w:type="table" w:styleId="TableGrid">
    <w:name w:val="Table Grid"/>
    <w:basedOn w:val="TableNormal"/>
    <w:uiPriority w:val="39"/>
    <w:rsid w:val="00364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0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RPAG">
      <a:dk1>
        <a:srgbClr val="0D223F"/>
      </a:dk1>
      <a:lt1>
        <a:srgbClr val="FFFFFF"/>
      </a:lt1>
      <a:dk2>
        <a:srgbClr val="99999A"/>
      </a:dk2>
      <a:lt2>
        <a:srgbClr val="D2D0CD"/>
      </a:lt2>
      <a:accent1>
        <a:srgbClr val="FF5B35"/>
      </a:accent1>
      <a:accent2>
        <a:srgbClr val="5AB7B2"/>
      </a:accent2>
      <a:accent3>
        <a:srgbClr val="004876"/>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A79E8-8615-4DA2-974F-A2E39165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Andy</dc:creator>
  <cp:keywords/>
  <dc:description/>
  <cp:lastModifiedBy>Kevin Donahue</cp:lastModifiedBy>
  <cp:revision>4</cp:revision>
  <cp:lastPrinted>2019-11-26T14:44:00Z</cp:lastPrinted>
  <dcterms:created xsi:type="dcterms:W3CDTF">2019-11-26T14:32:00Z</dcterms:created>
  <dcterms:modified xsi:type="dcterms:W3CDTF">2019-11-26T14:44:00Z</dcterms:modified>
</cp:coreProperties>
</file>