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F8E97" w14:textId="5A72F530" w:rsidR="00973969" w:rsidRPr="009558FC" w:rsidRDefault="009558FC" w:rsidP="00747451">
      <w:pPr>
        <w:pStyle w:val="SubheadLevel1"/>
        <w:spacing w:line="240" w:lineRule="auto"/>
        <w:rPr>
          <w:rFonts w:ascii="Arial" w:hAnsi="Arial" w:cs="Arial"/>
          <w:color w:val="FF5B35"/>
          <w:sz w:val="19"/>
          <w:szCs w:val="19"/>
        </w:rPr>
      </w:pPr>
      <w:bookmarkStart w:id="0" w:name="_GoBack"/>
      <w:bookmarkEnd w:id="0"/>
      <w:r w:rsidRPr="009558FC">
        <w:rPr>
          <w:rFonts w:ascii="Arial" w:hAnsi="Arial" w:cs="Arial"/>
          <w:noProof/>
          <w:color w:val="FF5B35"/>
          <w:sz w:val="31"/>
          <w:szCs w:val="31"/>
        </w:rPr>
        <mc:AlternateContent>
          <mc:Choice Requires="wps">
            <w:drawing>
              <wp:anchor distT="45720" distB="45720" distL="114300" distR="114300" simplePos="0" relativeHeight="251662848" behindDoc="0" locked="0" layoutInCell="1" allowOverlap="1" wp14:anchorId="2D4449E4" wp14:editId="32156BF5">
                <wp:simplePos x="0" y="0"/>
                <wp:positionH relativeFrom="column">
                  <wp:posOffset>-1397000</wp:posOffset>
                </wp:positionH>
                <wp:positionV relativeFrom="paragraph">
                  <wp:posOffset>-222885</wp:posOffset>
                </wp:positionV>
                <wp:extent cx="6567170" cy="7302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730250"/>
                        </a:xfrm>
                        <a:prstGeom prst="rect">
                          <a:avLst/>
                        </a:prstGeom>
                        <a:noFill/>
                        <a:ln w="9525">
                          <a:noFill/>
                          <a:miter lim="800000"/>
                          <a:headEnd/>
                          <a:tailEnd/>
                        </a:ln>
                      </wps:spPr>
                      <wps:txbx>
                        <w:txbxContent>
                          <w:p w14:paraId="3D35C3B0" w14:textId="77777777" w:rsidR="00947185" w:rsidRPr="009558FC" w:rsidRDefault="00890B2D" w:rsidP="00947185">
                            <w:pPr>
                              <w:rPr>
                                <w:rFonts w:ascii="Arial" w:hAnsi="Arial" w:cs="Arial"/>
                                <w:b/>
                                <w:color w:val="FFFFFF" w:themeColor="background1"/>
                                <w:sz w:val="60"/>
                                <w:szCs w:val="60"/>
                              </w:rPr>
                            </w:pPr>
                            <w:r w:rsidRPr="009558FC">
                              <w:rPr>
                                <w:rFonts w:ascii="Arial" w:hAnsi="Arial" w:cs="Arial"/>
                                <w:b/>
                                <w:bCs/>
                                <w:color w:val="FFFFFF" w:themeColor="background1"/>
                                <w:sz w:val="60"/>
                                <w:szCs w:val="60"/>
                              </w:rPr>
                              <w:t>Increase Employee Contributions</w:t>
                            </w:r>
                          </w:p>
                          <w:p w14:paraId="52A11246" w14:textId="77777777" w:rsidR="00BB7F8C" w:rsidRPr="009558FC" w:rsidRDefault="00BB7F8C">
                            <w:pPr>
                              <w:rPr>
                                <w:rFonts w:ascii="Arial" w:hAnsi="Arial" w:cs="Arial"/>
                                <w:b/>
                                <w:color w:val="FFFFFF" w:themeColor="background1"/>
                                <w:sz w:val="60"/>
                                <w:szCs w:val="6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4449E4" id="_x0000_t202" coordsize="21600,21600" o:spt="202" path="m,l,21600r21600,l21600,xe">
                <v:stroke joinstyle="miter"/>
                <v:path gradientshapeok="t" o:connecttype="rect"/>
              </v:shapetype>
              <v:shape id="Text Box 2" o:spid="_x0000_s1026" type="#_x0000_t202" style="position:absolute;margin-left:-110pt;margin-top:-17.55pt;width:517.1pt;height:57.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" filled="f" stroked="f">
                <v:textbox>
                  <w:txbxContent>
                    <w:p w14:paraId="3D35C3B0" w14:textId="77777777" w:rsidR="00947185" w:rsidRPr="009558FC" w:rsidRDefault="00890B2D" w:rsidP="00947185">
                      <w:pPr>
                        <w:rPr>
                          <w:rFonts w:ascii="Arial" w:hAnsi="Arial" w:cs="Arial"/>
                          <w:b/>
                          <w:color w:val="FFFFFF" w:themeColor="background1"/>
                          <w:sz w:val="60"/>
                          <w:szCs w:val="60"/>
                        </w:rPr>
                      </w:pPr>
                      <w:r w:rsidRPr="009558FC">
                        <w:rPr>
                          <w:rFonts w:ascii="Arial" w:hAnsi="Arial" w:cs="Arial"/>
                          <w:b/>
                          <w:bCs/>
                          <w:color w:val="FFFFFF" w:themeColor="background1"/>
                          <w:sz w:val="60"/>
                          <w:szCs w:val="60"/>
                        </w:rPr>
                        <w:t>Increase Employee Contributions</w:t>
                      </w:r>
                    </w:p>
                    <w:p w14:paraId="52A11246" w14:textId="77777777" w:rsidR="00BB7F8C" w:rsidRPr="009558FC" w:rsidRDefault="00BB7F8C">
                      <w:pPr>
                        <w:rPr>
                          <w:rFonts w:ascii="Arial" w:hAnsi="Arial" w:cs="Arial"/>
                          <w:b/>
                          <w:color w:val="FFFFFF" w:themeColor="background1"/>
                          <w:sz w:val="60"/>
                          <w:szCs w:val="60"/>
                        </w:rPr>
                      </w:pPr>
                    </w:p>
                  </w:txbxContent>
                </v:textbox>
              </v:shape>
            </w:pict>
          </mc:Fallback>
        </mc:AlternateContent>
      </w:r>
      <w:r w:rsidRPr="009558FC">
        <w:rPr>
          <w:rFonts w:ascii="Arial" w:hAnsi="Arial" w:cs="Arial"/>
          <w:noProof/>
          <w:color w:val="FF5B35"/>
          <w:sz w:val="31"/>
          <w:szCs w:val="31"/>
        </w:rPr>
        <w:drawing>
          <wp:anchor distT="0" distB="0" distL="114300" distR="114300" simplePos="0" relativeHeight="251655680" behindDoc="0" locked="0" layoutInCell="1" allowOverlap="1" wp14:anchorId="505B2004" wp14:editId="676DD713">
            <wp:simplePos x="0" y="0"/>
            <wp:positionH relativeFrom="column">
              <wp:posOffset>-2184400</wp:posOffset>
            </wp:positionH>
            <wp:positionV relativeFrom="paragraph">
              <wp:posOffset>-344170</wp:posOffset>
            </wp:positionV>
            <wp:extent cx="7829550" cy="89535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PAG-Leaf-Grey.png"/>
                    <pic:cNvPicPr/>
                  </pic:nvPicPr>
                  <pic:blipFill rotWithShape="1">
                    <a:blip r:embed="rId7">
                      <a:extLst>
                        <a:ext uri="{28A0092B-C50C-407E-A947-70E740481C1C}">
                          <a14:useLocalDpi xmlns:a14="http://schemas.microsoft.com/office/drawing/2010/main" val="0"/>
                        </a:ext>
                      </a:extLst>
                    </a:blip>
                    <a:srcRect t="24849" b="59713"/>
                    <a:stretch/>
                  </pic:blipFill>
                  <pic:spPr bwMode="auto">
                    <a:xfrm>
                      <a:off x="0" y="0"/>
                      <a:ext cx="7829550"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ABD4BA" w14:textId="77777777" w:rsidR="009558FC" w:rsidRPr="009558FC" w:rsidRDefault="009558FC" w:rsidP="004A6F16">
      <w:pPr>
        <w:pStyle w:val="SubheadLevel2"/>
        <w:spacing w:before="0" w:after="120" w:line="264" w:lineRule="auto"/>
        <w:ind w:right="360"/>
        <w:rPr>
          <w:rFonts w:ascii="Arial" w:hAnsi="Arial" w:cs="Arial"/>
          <w:bCs w:val="0"/>
          <w:color w:val="20436D"/>
          <w:sz w:val="27"/>
          <w:szCs w:val="27"/>
        </w:rPr>
      </w:pPr>
    </w:p>
    <w:p w14:paraId="1A63D51F" w14:textId="7132C491" w:rsidR="00947185" w:rsidRPr="009558FC" w:rsidRDefault="00890B2D" w:rsidP="004A6F16">
      <w:pPr>
        <w:pStyle w:val="SubheadLevel2"/>
        <w:spacing w:before="0" w:after="120" w:line="264" w:lineRule="auto"/>
        <w:ind w:right="360"/>
        <w:rPr>
          <w:rFonts w:ascii="Arial" w:hAnsi="Arial" w:cs="Arial"/>
          <w:color w:val="20436D"/>
          <w:sz w:val="31"/>
          <w:szCs w:val="31"/>
        </w:rPr>
      </w:pPr>
      <w:r w:rsidRPr="009558FC">
        <w:rPr>
          <w:rFonts w:ascii="Arial" w:hAnsi="Arial" w:cs="Arial"/>
          <w:bCs w:val="0"/>
          <w:color w:val="20436D"/>
          <w:sz w:val="27"/>
          <w:szCs w:val="27"/>
        </w:rPr>
        <w:t>Four Ways to Increase Employee Retirement Contributions</w:t>
      </w:r>
    </w:p>
    <w:p w14:paraId="02F3BB51" w14:textId="77777777" w:rsidR="00890B2D" w:rsidRPr="00872DD6" w:rsidRDefault="00890B2D" w:rsidP="004A6F16">
      <w:pPr>
        <w:pStyle w:val="SubheadLevel2"/>
        <w:spacing w:before="0" w:line="276" w:lineRule="auto"/>
        <w:ind w:right="360"/>
        <w:rPr>
          <w:rFonts w:ascii="Arial" w:hAnsi="Arial" w:cs="Arial"/>
          <w:b w:val="0"/>
          <w:color w:val="auto"/>
          <w:sz w:val="21"/>
          <w:szCs w:val="21"/>
        </w:rPr>
      </w:pPr>
      <w:r w:rsidRPr="00872DD6">
        <w:rPr>
          <w:rFonts w:ascii="Arial" w:hAnsi="Arial" w:cs="Arial"/>
          <w:b w:val="0"/>
          <w:color w:val="auto"/>
          <w:sz w:val="21"/>
          <w:szCs w:val="21"/>
        </w:rPr>
        <w:t>As a retirement plan sponsor, you want your employees to save the most they can in order to reach their maximum retirement potential. A significant amount of research says that you can improve both employee participation and their saving rates. Here are four ways you can help your employees start building a confident retirement:</w:t>
      </w:r>
    </w:p>
    <w:p w14:paraId="5B65B69D" w14:textId="77777777" w:rsidR="00890B2D" w:rsidRPr="00872DD6" w:rsidRDefault="00890B2D" w:rsidP="004A6F16">
      <w:pPr>
        <w:pStyle w:val="SubheadLevel2"/>
        <w:spacing w:before="0" w:line="276" w:lineRule="auto"/>
        <w:ind w:right="360"/>
        <w:rPr>
          <w:rFonts w:ascii="Arial" w:hAnsi="Arial" w:cs="Arial"/>
          <w:b w:val="0"/>
          <w:color w:val="auto"/>
          <w:sz w:val="21"/>
          <w:szCs w:val="21"/>
        </w:rPr>
      </w:pPr>
    </w:p>
    <w:p w14:paraId="681B9AF9" w14:textId="77777777" w:rsidR="00890B2D" w:rsidRPr="00872DD6" w:rsidRDefault="00890B2D" w:rsidP="004A6F16">
      <w:pPr>
        <w:pStyle w:val="ListParagraph"/>
        <w:numPr>
          <w:ilvl w:val="0"/>
          <w:numId w:val="5"/>
        </w:numPr>
        <w:spacing w:line="259" w:lineRule="auto"/>
        <w:ind w:right="360"/>
        <w:contextualSpacing w:val="0"/>
        <w:rPr>
          <w:rFonts w:ascii="Arial" w:hAnsi="Arial" w:cs="Arial"/>
          <w:sz w:val="21"/>
          <w:szCs w:val="21"/>
        </w:rPr>
      </w:pPr>
      <w:r w:rsidRPr="00872DD6">
        <w:rPr>
          <w:rFonts w:ascii="Arial" w:hAnsi="Arial" w:cs="Arial"/>
          <w:b/>
          <w:sz w:val="21"/>
          <w:szCs w:val="21"/>
        </w:rPr>
        <w:t xml:space="preserve">Boost employee participation with automatic enrollment. </w:t>
      </w:r>
      <w:r w:rsidRPr="00872DD6">
        <w:rPr>
          <w:rFonts w:ascii="Arial" w:hAnsi="Arial" w:cs="Arial"/>
          <w:sz w:val="21"/>
          <w:szCs w:val="21"/>
        </w:rPr>
        <w:t>Choosing to automatically enroll all new employees in your retirement plan can dramatically improve your participation rates. According to the Center for Retirement Research (CRR) at Boston College, in one study of automatic enrollment, participation increased by 50 percent, with the largest gains among younger and lower-paid employees.</w:t>
      </w:r>
      <w:r w:rsidRPr="00872DD6">
        <w:rPr>
          <w:rFonts w:ascii="Arial" w:hAnsi="Arial" w:cs="Arial"/>
          <w:sz w:val="21"/>
          <w:szCs w:val="21"/>
          <w:vertAlign w:val="superscript"/>
        </w:rPr>
        <w:t>1</w:t>
      </w:r>
      <w:r w:rsidRPr="00872DD6">
        <w:rPr>
          <w:rFonts w:ascii="Arial" w:hAnsi="Arial" w:cs="Arial"/>
          <w:sz w:val="21"/>
          <w:szCs w:val="21"/>
        </w:rPr>
        <w:t xml:space="preserve"> While auto enrolled employees are allowed to opt out of the retirement plan, most generally stay enrolled.</w:t>
      </w:r>
    </w:p>
    <w:p w14:paraId="06152F8E" w14:textId="77777777" w:rsidR="004A6F16" w:rsidRPr="00872DD6" w:rsidRDefault="004A6F16" w:rsidP="004A6F16">
      <w:pPr>
        <w:pStyle w:val="ListParagraph"/>
        <w:spacing w:line="259" w:lineRule="auto"/>
        <w:ind w:right="360"/>
        <w:contextualSpacing w:val="0"/>
        <w:rPr>
          <w:rFonts w:ascii="Arial" w:hAnsi="Arial" w:cs="Arial"/>
          <w:sz w:val="21"/>
          <w:szCs w:val="21"/>
        </w:rPr>
      </w:pPr>
    </w:p>
    <w:p w14:paraId="75CE200B" w14:textId="77777777" w:rsidR="00890B2D" w:rsidRPr="00872DD6" w:rsidRDefault="00890B2D" w:rsidP="004A6F16">
      <w:pPr>
        <w:pStyle w:val="ListParagraph"/>
        <w:numPr>
          <w:ilvl w:val="0"/>
          <w:numId w:val="5"/>
        </w:numPr>
        <w:spacing w:line="259" w:lineRule="auto"/>
        <w:ind w:right="360"/>
        <w:contextualSpacing w:val="0"/>
        <w:rPr>
          <w:rFonts w:ascii="Arial" w:hAnsi="Arial" w:cs="Arial"/>
          <w:sz w:val="21"/>
          <w:szCs w:val="21"/>
        </w:rPr>
      </w:pPr>
      <w:r w:rsidRPr="00872DD6">
        <w:rPr>
          <w:rFonts w:ascii="Arial" w:hAnsi="Arial" w:cs="Arial"/>
          <w:b/>
          <w:sz w:val="21"/>
          <w:szCs w:val="21"/>
        </w:rPr>
        <w:t>Set the initial default contribution rate higher.</w:t>
      </w:r>
      <w:r w:rsidRPr="00872DD6">
        <w:rPr>
          <w:rFonts w:ascii="Arial" w:hAnsi="Arial" w:cs="Arial"/>
          <w:sz w:val="21"/>
          <w:szCs w:val="21"/>
        </w:rPr>
        <w:t xml:space="preserve"> Many companies who use auto enrollment set their default contribution rate relatively low at 3 percent, according to the CRR, which is lower than the typical employer match rate of 6 percent. Workers who might have contributed more to their savings passively accept the lower default rate, which means they’re sacrificing employer matching funds along with saving less of their own pay.</w:t>
      </w:r>
    </w:p>
    <w:p w14:paraId="7FB02E71" w14:textId="77777777" w:rsidR="004A6F16" w:rsidRPr="00872DD6" w:rsidRDefault="004A6F16" w:rsidP="004A6F16">
      <w:pPr>
        <w:spacing w:line="259" w:lineRule="auto"/>
        <w:ind w:right="360"/>
        <w:rPr>
          <w:rFonts w:ascii="Arial" w:hAnsi="Arial" w:cs="Arial"/>
          <w:sz w:val="21"/>
          <w:szCs w:val="21"/>
        </w:rPr>
      </w:pPr>
    </w:p>
    <w:p w14:paraId="24F2AD59" w14:textId="77777777" w:rsidR="00890B2D" w:rsidRPr="00872DD6" w:rsidRDefault="00890B2D" w:rsidP="004A6F16">
      <w:pPr>
        <w:pStyle w:val="ListParagraph"/>
        <w:numPr>
          <w:ilvl w:val="0"/>
          <w:numId w:val="5"/>
        </w:numPr>
        <w:spacing w:line="259" w:lineRule="auto"/>
        <w:ind w:right="360"/>
        <w:contextualSpacing w:val="0"/>
        <w:rPr>
          <w:rFonts w:ascii="Arial" w:hAnsi="Arial" w:cs="Arial"/>
          <w:sz w:val="21"/>
          <w:szCs w:val="21"/>
        </w:rPr>
      </w:pPr>
      <w:r w:rsidRPr="00872DD6">
        <w:rPr>
          <w:rFonts w:ascii="Arial" w:hAnsi="Arial" w:cs="Arial"/>
          <w:b/>
          <w:sz w:val="21"/>
          <w:szCs w:val="21"/>
        </w:rPr>
        <w:t>Adopt auto escalation.</w:t>
      </w:r>
      <w:r w:rsidRPr="00872DD6">
        <w:rPr>
          <w:rFonts w:ascii="Arial" w:hAnsi="Arial" w:cs="Arial"/>
          <w:sz w:val="21"/>
          <w:szCs w:val="21"/>
        </w:rPr>
        <w:t xml:space="preserve"> Plans that use auto escalation automatically increase their participants’ contribution rate every year, typically by 1 percent. Over time, that can significantly improve savings rates among workers. The CRR cites a 2013 study of Danish workers where </w:t>
      </w:r>
      <w:proofErr w:type="gramStart"/>
      <w:r w:rsidRPr="00872DD6">
        <w:rPr>
          <w:rFonts w:ascii="Arial" w:hAnsi="Arial" w:cs="Arial"/>
          <w:sz w:val="21"/>
          <w:szCs w:val="21"/>
        </w:rPr>
        <w:t>the majority of</w:t>
      </w:r>
      <w:proofErr w:type="gramEnd"/>
      <w:r w:rsidRPr="00872DD6">
        <w:rPr>
          <w:rFonts w:ascii="Arial" w:hAnsi="Arial" w:cs="Arial"/>
          <w:sz w:val="21"/>
          <w:szCs w:val="21"/>
        </w:rPr>
        <w:t xml:space="preserve"> workers who experienced automatic increases simply accepted them, and savings rates dramatically increased.</w:t>
      </w:r>
      <w:r w:rsidRPr="00872DD6">
        <w:rPr>
          <w:rFonts w:ascii="Arial" w:hAnsi="Arial" w:cs="Arial"/>
          <w:b/>
          <w:sz w:val="21"/>
          <w:szCs w:val="21"/>
        </w:rPr>
        <w:t xml:space="preserve"> </w:t>
      </w:r>
    </w:p>
    <w:p w14:paraId="0CF0F265" w14:textId="77777777" w:rsidR="004A6F16" w:rsidRPr="00872DD6" w:rsidRDefault="004A6F16" w:rsidP="004A6F16">
      <w:pPr>
        <w:spacing w:line="259" w:lineRule="auto"/>
        <w:ind w:right="360"/>
        <w:rPr>
          <w:rFonts w:ascii="Arial" w:hAnsi="Arial" w:cs="Arial"/>
          <w:sz w:val="21"/>
          <w:szCs w:val="21"/>
        </w:rPr>
      </w:pPr>
    </w:p>
    <w:p w14:paraId="4F921FB8" w14:textId="0EACCB5E" w:rsidR="00CF0619" w:rsidRPr="00872DD6" w:rsidRDefault="00890B2D" w:rsidP="00E71D00">
      <w:pPr>
        <w:pStyle w:val="ListParagraph"/>
        <w:numPr>
          <w:ilvl w:val="0"/>
          <w:numId w:val="5"/>
        </w:numPr>
        <w:suppressAutoHyphens/>
        <w:autoSpaceDE w:val="0"/>
        <w:autoSpaceDN w:val="0"/>
        <w:adjustRightInd w:val="0"/>
        <w:spacing w:line="240" w:lineRule="auto"/>
        <w:ind w:right="360"/>
        <w:textAlignment w:val="center"/>
        <w:rPr>
          <w:rFonts w:ascii="Arial" w:hAnsi="Arial" w:cs="Arial"/>
          <w:b/>
          <w:color w:val="1F497D" w:themeColor="text2"/>
          <w:sz w:val="21"/>
          <w:szCs w:val="21"/>
        </w:rPr>
      </w:pPr>
      <w:r w:rsidRPr="00872DD6">
        <w:rPr>
          <w:rFonts w:ascii="Arial" w:hAnsi="Arial" w:cs="Arial"/>
          <w:b/>
          <w:sz w:val="21"/>
          <w:szCs w:val="21"/>
        </w:rPr>
        <w:t xml:space="preserve">Automate investment decisions with target date investment products. </w:t>
      </w:r>
      <w:r w:rsidRPr="00872DD6">
        <w:rPr>
          <w:rFonts w:ascii="Arial" w:hAnsi="Arial" w:cs="Arial"/>
          <w:sz w:val="21"/>
          <w:szCs w:val="21"/>
        </w:rPr>
        <w:t>Investing is complicated, and many employees don’t want to take the time to learn how to manage their portfolios. Target date strategies automatically adjust an employee’s investment allocations over time, shifting them to a more conservative asset mix as the target date (typically retirement) approaches. The ease of use of target date funds means their popularity is increasing. The CRR notes that in 2014, nearly 20 percent of all 401(k) assets were in target date funds, and about half of plan participants used target date funds.</w:t>
      </w:r>
    </w:p>
    <w:p w14:paraId="77FC8CE5" w14:textId="6677BE80" w:rsidR="00CF0619" w:rsidRPr="009558FC" w:rsidRDefault="00CF0619" w:rsidP="004A6F16">
      <w:pPr>
        <w:suppressAutoHyphens/>
        <w:autoSpaceDE w:val="0"/>
        <w:autoSpaceDN w:val="0"/>
        <w:adjustRightInd w:val="0"/>
        <w:spacing w:line="240" w:lineRule="auto"/>
        <w:textAlignment w:val="center"/>
        <w:rPr>
          <w:rFonts w:ascii="Arial" w:hAnsi="Arial" w:cs="Arial"/>
          <w:b/>
          <w:color w:val="1F497D" w:themeColor="text2"/>
          <w:sz w:val="23"/>
          <w:szCs w:val="23"/>
        </w:rPr>
      </w:pPr>
    </w:p>
    <w:p w14:paraId="63E02610" w14:textId="77777777" w:rsidR="00D51FEB" w:rsidRPr="009558FC" w:rsidRDefault="00D51FEB" w:rsidP="00D51FEB">
      <w:pPr>
        <w:spacing w:line="240" w:lineRule="auto"/>
        <w:rPr>
          <w:rFonts w:ascii="Arial" w:eastAsia="Times New Roman" w:hAnsi="Arial" w:cs="Arial"/>
          <w:b/>
          <w:color w:val="20436D"/>
          <w:sz w:val="23"/>
          <w:szCs w:val="23"/>
        </w:rPr>
      </w:pPr>
      <w:r w:rsidRPr="009558FC">
        <w:rPr>
          <w:rFonts w:ascii="Arial" w:eastAsia="Times New Roman" w:hAnsi="Arial" w:cs="Arial"/>
          <w:b/>
          <w:noProof/>
          <w:color w:val="20436D"/>
          <w:sz w:val="23"/>
          <w:szCs w:val="23"/>
        </w:rPr>
        <w:t>To schedule a second opinion of your current retirement plan contact Kevin Donahue CRPC® AIF®, with Risen Son Financial</w:t>
      </w:r>
      <w:r w:rsidRPr="009558FC">
        <w:rPr>
          <w:rFonts w:ascii="Arial" w:eastAsia="Times New Roman" w:hAnsi="Arial" w:cs="Arial"/>
          <w:b/>
          <w:color w:val="20436D"/>
          <w:sz w:val="23"/>
          <w:szCs w:val="23"/>
        </w:rPr>
        <w:t xml:space="preserve">, at 813-512-2746 or </w:t>
      </w:r>
      <w:hyperlink r:id="rId8" w:history="1">
        <w:r w:rsidRPr="009558FC">
          <w:rPr>
            <w:rFonts w:ascii="Arial" w:eastAsia="Times New Roman" w:hAnsi="Arial" w:cs="Arial"/>
            <w:b/>
            <w:color w:val="0000FF"/>
            <w:sz w:val="23"/>
            <w:szCs w:val="23"/>
            <w:u w:val="single"/>
          </w:rPr>
          <w:t>kevin@risensonfinancial.com</w:t>
        </w:r>
      </w:hyperlink>
    </w:p>
    <w:p w14:paraId="653D7095" w14:textId="77777777" w:rsidR="005B00C4" w:rsidRPr="009558FC" w:rsidRDefault="005B00C4" w:rsidP="004A6F16">
      <w:pPr>
        <w:suppressAutoHyphens/>
        <w:autoSpaceDE w:val="0"/>
        <w:autoSpaceDN w:val="0"/>
        <w:adjustRightInd w:val="0"/>
        <w:spacing w:line="240" w:lineRule="auto"/>
        <w:textAlignment w:val="center"/>
        <w:rPr>
          <w:rFonts w:ascii="Arial" w:hAnsi="Arial" w:cs="Arial"/>
          <w:b/>
          <w:color w:val="5AB7B2"/>
          <w:sz w:val="23"/>
          <w:szCs w:val="23"/>
        </w:rPr>
      </w:pPr>
    </w:p>
    <w:p w14:paraId="4AED2964" w14:textId="272C8CAC" w:rsidR="00B62FD3" w:rsidRPr="00872DD6" w:rsidRDefault="009558FC" w:rsidP="00872DD6">
      <w:pPr>
        <w:spacing w:after="160" w:line="256" w:lineRule="auto"/>
        <w:rPr>
          <w:rFonts w:ascii="Arial" w:hAnsi="Arial" w:cs="Arial"/>
          <w:b/>
          <w:color w:val="5AB7B2"/>
          <w:sz w:val="21"/>
          <w:szCs w:val="21"/>
        </w:rPr>
      </w:pPr>
      <w:r w:rsidRPr="009558FC">
        <w:rPr>
          <w:rFonts w:ascii="Arial" w:eastAsia="Calibri" w:hAnsi="Arial" w:cs="Arial"/>
          <w:sz w:val="21"/>
          <w:szCs w:val="21"/>
        </w:rPr>
        <w:t xml:space="preserve">The information given herein is taken from sources that I FP Advisors, LLC, dba Independent Financial Partners (IFP), IFP Securities LLC, dba Independent Financial Partners (IFP), and its advisors believe to be reliable, but it is not guaranteed by us as to accuracy or completeness. This is for informational purposes only and in no event should be construed as an offer to sell or solicitation of an offer to buy any securities or products. Please consult your tax and/or legal advisor before implementing any tax and/or legal related strategies mentioned in this publication as IFP does not provide tax and/or legal advice. Opinions expressed are subject to change without notice and do not </w:t>
      </w:r>
      <w:proofErr w:type="gramStart"/>
      <w:r w:rsidRPr="009558FC">
        <w:rPr>
          <w:rFonts w:ascii="Arial" w:eastAsia="Calibri" w:hAnsi="Arial" w:cs="Arial"/>
          <w:sz w:val="21"/>
          <w:szCs w:val="21"/>
        </w:rPr>
        <w:t>take into account</w:t>
      </w:r>
      <w:proofErr w:type="gramEnd"/>
      <w:r w:rsidRPr="009558FC">
        <w:rPr>
          <w:rFonts w:ascii="Arial" w:eastAsia="Calibri" w:hAnsi="Arial" w:cs="Arial"/>
          <w:sz w:val="21"/>
          <w:szCs w:val="21"/>
        </w:rPr>
        <w:t xml:space="preserve"> the particular investment objectives, financial situation, or needs of individual investors. This report may not be reproduced, distributed, or published by any person for any purpose without I FP's express prior written consent.</w:t>
      </w:r>
    </w:p>
    <w:sectPr w:rsidR="00B62FD3" w:rsidRPr="00872DD6" w:rsidSect="008209BE">
      <w:headerReference w:type="default" r:id="rId9"/>
      <w:footerReference w:type="default" r:id="rId10"/>
      <w:pgSz w:w="12240" w:h="15840"/>
      <w:pgMar w:top="1711" w:right="720" w:bottom="1170" w:left="720" w:header="720" w:footer="5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D49F8" w14:textId="77777777" w:rsidR="003C4082" w:rsidRPr="009558FC" w:rsidRDefault="003C4082" w:rsidP="00B62FD3">
      <w:pPr>
        <w:spacing w:line="240" w:lineRule="auto"/>
        <w:rPr>
          <w:sz w:val="21"/>
          <w:szCs w:val="21"/>
        </w:rPr>
      </w:pPr>
      <w:r w:rsidRPr="009558FC">
        <w:rPr>
          <w:sz w:val="21"/>
          <w:szCs w:val="21"/>
        </w:rPr>
        <w:separator/>
      </w:r>
    </w:p>
  </w:endnote>
  <w:endnote w:type="continuationSeparator" w:id="0">
    <w:p w14:paraId="060F7001" w14:textId="77777777" w:rsidR="003C4082" w:rsidRPr="009558FC" w:rsidRDefault="003C4082" w:rsidP="00B62FD3">
      <w:pPr>
        <w:spacing w:line="240" w:lineRule="auto"/>
        <w:rPr>
          <w:sz w:val="21"/>
          <w:szCs w:val="21"/>
        </w:rPr>
      </w:pPr>
      <w:r w:rsidRPr="009558FC">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78F54" w14:textId="77777777" w:rsidR="008209BE" w:rsidRPr="009558FC" w:rsidRDefault="008209BE" w:rsidP="0090042E">
    <w:pPr>
      <w:pStyle w:val="Footer"/>
      <w:tabs>
        <w:tab w:val="clear" w:pos="4680"/>
        <w:tab w:val="center" w:pos="5040"/>
      </w:tabs>
      <w:jc w:val="center"/>
      <w:rPr>
        <w:rFonts w:ascii="Arial" w:hAnsi="Arial" w:cs="Arial"/>
        <w:color w:val="FFFFFF" w:themeColor="background1"/>
        <w:sz w:val="19"/>
        <w:szCs w:val="19"/>
        <w:lang w:val="es-MX"/>
      </w:rPr>
    </w:pPr>
    <w:r w:rsidRPr="009558FC">
      <w:rPr>
        <w:rFonts w:ascii="Arial" w:hAnsi="Arial" w:cs="Arial"/>
        <w:noProof/>
        <w:color w:val="FFFFFF" w:themeColor="background1"/>
        <w:sz w:val="19"/>
        <w:szCs w:val="19"/>
      </w:rPr>
      <mc:AlternateContent>
        <mc:Choice Requires="wps">
          <w:drawing>
            <wp:anchor distT="0" distB="0" distL="114300" distR="114300" simplePos="0" relativeHeight="251664896" behindDoc="1" locked="0" layoutInCell="1" allowOverlap="1" wp14:anchorId="1C0A4570" wp14:editId="39A9D8F3">
              <wp:simplePos x="0" y="0"/>
              <wp:positionH relativeFrom="column">
                <wp:posOffset>-466725</wp:posOffset>
              </wp:positionH>
              <wp:positionV relativeFrom="paragraph">
                <wp:posOffset>87630</wp:posOffset>
              </wp:positionV>
              <wp:extent cx="7867650" cy="984250"/>
              <wp:effectExtent l="0" t="0" r="0" b="6350"/>
              <wp:wrapNone/>
              <wp:docPr id="298" name="Rectangle 298"/>
              <wp:cNvGraphicFramePr/>
              <a:graphic xmlns:a="http://schemas.openxmlformats.org/drawingml/2006/main">
                <a:graphicData uri="http://schemas.microsoft.com/office/word/2010/wordprocessingShape">
                  <wps:wsp>
                    <wps:cNvSpPr/>
                    <wps:spPr>
                      <a:xfrm>
                        <a:off x="0" y="0"/>
                        <a:ext cx="7867650" cy="984250"/>
                      </a:xfrm>
                      <a:prstGeom prst="rect">
                        <a:avLst/>
                      </a:prstGeom>
                      <a:solidFill>
                        <a:srgbClr val="0048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BC177F" id="Rectangle 298" o:spid="_x0000_s1026" style="position:absolute;margin-left:-36.75pt;margin-top:6.9pt;width:619.5pt;height:7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" fillcolor="#004876" stroked="f" strokeweight="2pt"/>
          </w:pict>
        </mc:Fallback>
      </mc:AlternateContent>
    </w:r>
  </w:p>
  <w:p w14:paraId="43E23E44" w14:textId="6C12AAEE" w:rsidR="00B67DD9" w:rsidRPr="009558FC" w:rsidRDefault="00B67DD9" w:rsidP="0090042E">
    <w:pPr>
      <w:pStyle w:val="Footer"/>
      <w:tabs>
        <w:tab w:val="clear" w:pos="4680"/>
        <w:tab w:val="center" w:pos="5040"/>
      </w:tabs>
      <w:jc w:val="center"/>
      <w:rPr>
        <w:rFonts w:ascii="Arial" w:hAnsi="Arial" w:cs="Arial"/>
        <w:color w:val="FFFFFF" w:themeColor="background1"/>
        <w:sz w:val="19"/>
        <w:szCs w:val="19"/>
        <w:lang w:val="es-MX"/>
      </w:rPr>
    </w:pPr>
    <w:r w:rsidRPr="009558FC">
      <w:rPr>
        <w:rFonts w:ascii="Arial" w:hAnsi="Arial" w:cs="Arial"/>
        <w:noProof/>
        <w:color w:val="FFFFFF" w:themeColor="background1"/>
        <w:sz w:val="19"/>
        <w:szCs w:val="19"/>
      </w:rPr>
      <w:drawing>
        <wp:anchor distT="0" distB="0" distL="114300" distR="114300" simplePos="0" relativeHeight="251663872" behindDoc="1" locked="0" layoutInCell="1" allowOverlap="1" wp14:anchorId="68A85C23" wp14:editId="1DE38A1A">
          <wp:simplePos x="0" y="0"/>
          <wp:positionH relativeFrom="column">
            <wp:posOffset>-247650</wp:posOffset>
          </wp:positionH>
          <wp:positionV relativeFrom="paragraph">
            <wp:posOffset>3175</wp:posOffset>
          </wp:positionV>
          <wp:extent cx="458363" cy="4572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PAG_primary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8363" cy="457200"/>
                  </a:xfrm>
                  <a:prstGeom prst="rect">
                    <a:avLst/>
                  </a:prstGeom>
                </pic:spPr>
              </pic:pic>
            </a:graphicData>
          </a:graphic>
          <wp14:sizeRelH relativeFrom="page">
            <wp14:pctWidth>0</wp14:pctWidth>
          </wp14:sizeRelH>
          <wp14:sizeRelV relativeFrom="page">
            <wp14:pctHeight>0</wp14:pctHeight>
          </wp14:sizeRelV>
        </wp:anchor>
      </w:drawing>
    </w:r>
    <w:r w:rsidR="00747451" w:rsidRPr="009558FC">
      <w:rPr>
        <w:color w:val="FFFFFF" w:themeColor="background1"/>
        <w:sz w:val="21"/>
        <w:szCs w:val="21"/>
      </w:rPr>
      <w:t>Risen Son Financial, 4416 Mount Bandon Drive, Land O’ Lakes, FL 34638</w:t>
    </w:r>
    <w:r w:rsidR="00CF0619" w:rsidRPr="009558FC">
      <w:rPr>
        <w:color w:val="FFFFFF" w:themeColor="background1"/>
        <w:sz w:val="21"/>
        <w:szCs w:val="21"/>
      </w:rPr>
      <w:t xml:space="preserve"> </w:t>
    </w:r>
    <w:r w:rsidRPr="009558FC">
      <w:rPr>
        <w:rFonts w:ascii="Arial" w:hAnsi="Arial" w:cs="Arial"/>
        <w:color w:val="FFFFFF" w:themeColor="background1"/>
        <w:sz w:val="19"/>
        <w:szCs w:val="19"/>
        <w:lang w:val="es-MX"/>
      </w:rPr>
      <w:t xml:space="preserve">| </w:t>
    </w:r>
    <w:r w:rsidR="00747451" w:rsidRPr="009558FC">
      <w:rPr>
        <w:color w:val="FFFFFF" w:themeColor="background1"/>
        <w:sz w:val="21"/>
        <w:szCs w:val="21"/>
      </w:rPr>
      <w:t xml:space="preserve">(813)512-2746 </w:t>
    </w:r>
    <w:r w:rsidRPr="009558FC">
      <w:rPr>
        <w:rFonts w:ascii="Arial" w:hAnsi="Arial" w:cs="Arial"/>
        <w:color w:val="FFFFFF" w:themeColor="background1"/>
        <w:sz w:val="19"/>
        <w:szCs w:val="19"/>
        <w:lang w:val="es-MX"/>
      </w:rPr>
      <w:t xml:space="preserve">| </w:t>
    </w:r>
    <w:r w:rsidR="00CF0619" w:rsidRPr="009558FC">
      <w:rPr>
        <w:color w:val="FFFFFF" w:themeColor="background1"/>
        <w:sz w:val="21"/>
        <w:szCs w:val="21"/>
      </w:rPr>
      <w:t>risensonfinancial.com</w:t>
    </w:r>
  </w:p>
  <w:p w14:paraId="4C5CA435" w14:textId="77777777" w:rsidR="00CF0619" w:rsidRPr="009558FC" w:rsidRDefault="00CF0619" w:rsidP="0090042E">
    <w:pPr>
      <w:pStyle w:val="Footer"/>
      <w:tabs>
        <w:tab w:val="clear" w:pos="4680"/>
        <w:tab w:val="center" w:pos="5040"/>
      </w:tabs>
      <w:jc w:val="center"/>
      <w:rPr>
        <w:rFonts w:ascii="Arial" w:hAnsi="Arial" w:cs="Arial"/>
        <w:color w:val="FFFFFF" w:themeColor="background1"/>
        <w:sz w:val="15"/>
        <w:szCs w:val="15"/>
        <w:lang w:val="es-MX"/>
      </w:rPr>
    </w:pPr>
  </w:p>
  <w:p w14:paraId="73ACFE71" w14:textId="10428F43" w:rsidR="008209BE" w:rsidRPr="009558FC" w:rsidRDefault="00CF0619" w:rsidP="00CF0619">
    <w:pPr>
      <w:pStyle w:val="Footer"/>
      <w:tabs>
        <w:tab w:val="clear" w:pos="4680"/>
        <w:tab w:val="center" w:pos="5040"/>
      </w:tabs>
      <w:jc w:val="center"/>
      <w:rPr>
        <w:rFonts w:ascii="Arial" w:hAnsi="Arial" w:cs="Arial"/>
        <w:color w:val="FFFFFF" w:themeColor="background1"/>
        <w:sz w:val="15"/>
        <w:szCs w:val="15"/>
        <w:lang w:val="es-MX"/>
      </w:rPr>
    </w:pPr>
    <w:r w:rsidRPr="009558FC">
      <w:rPr>
        <w:color w:val="FFFFFF" w:themeColor="background1"/>
        <w:sz w:val="21"/>
        <w:szCs w:val="21"/>
      </w:rPr>
      <w:t>Investment advice offered through IFP Advisors, LLC, dba Independent Financial Partners (IFP), a Registered Investment Adviser. IFP and Risen Son Financial are not affiliated.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540A8" w14:textId="77777777" w:rsidR="003C4082" w:rsidRPr="009558FC" w:rsidRDefault="003C4082" w:rsidP="00B62FD3">
      <w:pPr>
        <w:spacing w:line="240" w:lineRule="auto"/>
        <w:rPr>
          <w:sz w:val="21"/>
          <w:szCs w:val="21"/>
        </w:rPr>
      </w:pPr>
      <w:r w:rsidRPr="009558FC">
        <w:rPr>
          <w:sz w:val="21"/>
          <w:szCs w:val="21"/>
        </w:rPr>
        <w:separator/>
      </w:r>
    </w:p>
  </w:footnote>
  <w:footnote w:type="continuationSeparator" w:id="0">
    <w:p w14:paraId="4C43E6FE" w14:textId="77777777" w:rsidR="003C4082" w:rsidRPr="009558FC" w:rsidRDefault="003C4082" w:rsidP="00B62FD3">
      <w:pPr>
        <w:spacing w:line="240" w:lineRule="auto"/>
        <w:rPr>
          <w:sz w:val="21"/>
          <w:szCs w:val="21"/>
        </w:rPr>
      </w:pPr>
      <w:r w:rsidRPr="009558FC">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9686" w14:textId="0F8A808F" w:rsidR="00747451" w:rsidRPr="009558FC" w:rsidRDefault="00747451">
    <w:pPr>
      <w:pStyle w:val="Header"/>
      <w:rPr>
        <w:sz w:val="21"/>
        <w:szCs w:val="21"/>
      </w:rPr>
    </w:pPr>
    <w:r w:rsidRPr="009558FC">
      <w:rPr>
        <w:noProof/>
        <w:sz w:val="21"/>
        <w:szCs w:val="21"/>
      </w:rPr>
      <w:drawing>
        <wp:anchor distT="0" distB="0" distL="114300" distR="114300" simplePos="0" relativeHeight="251665920" behindDoc="0" locked="0" layoutInCell="1" allowOverlap="1" wp14:anchorId="1713DF5C" wp14:editId="1E1867F2">
          <wp:simplePos x="0" y="0"/>
          <wp:positionH relativeFrom="page">
            <wp:posOffset>-190500</wp:posOffset>
          </wp:positionH>
          <wp:positionV relativeFrom="page">
            <wp:posOffset>-412750</wp:posOffset>
          </wp:positionV>
          <wp:extent cx="2240280" cy="1517904"/>
          <wp:effectExtent l="0" t="0" r="7620" b="635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enSon-Horizontal-Color_4x-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0280" cy="15179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7FB0"/>
    <w:multiLevelType w:val="hybridMultilevel"/>
    <w:tmpl w:val="AE44F654"/>
    <w:lvl w:ilvl="0" w:tplc="A57CF946">
      <w:start w:val="50"/>
      <w:numFmt w:val="bullet"/>
      <w:lvlText w:val="-"/>
      <w:lvlJc w:val="left"/>
      <w:pPr>
        <w:ind w:left="1380" w:hanging="360"/>
      </w:pPr>
      <w:rPr>
        <w:rFonts w:ascii="Arial" w:eastAsia="Times New Roman" w:hAnsi="Arial" w:cs="Aria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15:restartNumberingAfterBreak="0">
    <w:nsid w:val="16E6398B"/>
    <w:multiLevelType w:val="hybridMultilevel"/>
    <w:tmpl w:val="A4980DE0"/>
    <w:lvl w:ilvl="0" w:tplc="C980EE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C1EA3"/>
    <w:multiLevelType w:val="hybridMultilevel"/>
    <w:tmpl w:val="F6A26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6228B"/>
    <w:multiLevelType w:val="hybridMultilevel"/>
    <w:tmpl w:val="CC0A409E"/>
    <w:lvl w:ilvl="0" w:tplc="FDCAE2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E1980"/>
    <w:multiLevelType w:val="hybridMultilevel"/>
    <w:tmpl w:val="D33C3A38"/>
    <w:lvl w:ilvl="0" w:tplc="578CF4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7A6AD8"/>
    <w:multiLevelType w:val="hybridMultilevel"/>
    <w:tmpl w:val="81F63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9419A9"/>
    <w:multiLevelType w:val="hybridMultilevel"/>
    <w:tmpl w:val="5BE82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641"/>
    <w:rsid w:val="0000077C"/>
    <w:rsid w:val="000166A7"/>
    <w:rsid w:val="000237C1"/>
    <w:rsid w:val="00032DA4"/>
    <w:rsid w:val="00034E74"/>
    <w:rsid w:val="00043550"/>
    <w:rsid w:val="00051A6B"/>
    <w:rsid w:val="0008238C"/>
    <w:rsid w:val="000A0282"/>
    <w:rsid w:val="000A70AE"/>
    <w:rsid w:val="000B763F"/>
    <w:rsid w:val="000C0F8F"/>
    <w:rsid w:val="000C18BE"/>
    <w:rsid w:val="000C20EE"/>
    <w:rsid w:val="000C4CC1"/>
    <w:rsid w:val="000D2DEB"/>
    <w:rsid w:val="000D335D"/>
    <w:rsid w:val="000E1A78"/>
    <w:rsid w:val="000E79BA"/>
    <w:rsid w:val="000E79C9"/>
    <w:rsid w:val="000F40C1"/>
    <w:rsid w:val="000F459F"/>
    <w:rsid w:val="000F62B6"/>
    <w:rsid w:val="000F7E01"/>
    <w:rsid w:val="001047C6"/>
    <w:rsid w:val="00110843"/>
    <w:rsid w:val="001133D0"/>
    <w:rsid w:val="00117F94"/>
    <w:rsid w:val="0012652E"/>
    <w:rsid w:val="00134A2E"/>
    <w:rsid w:val="00135A6D"/>
    <w:rsid w:val="00135CEC"/>
    <w:rsid w:val="00136E68"/>
    <w:rsid w:val="00137EBA"/>
    <w:rsid w:val="00152CBC"/>
    <w:rsid w:val="001552DE"/>
    <w:rsid w:val="00176CEF"/>
    <w:rsid w:val="0018706C"/>
    <w:rsid w:val="00194232"/>
    <w:rsid w:val="001A3497"/>
    <w:rsid w:val="001A6752"/>
    <w:rsid w:val="001B0032"/>
    <w:rsid w:val="001B5243"/>
    <w:rsid w:val="001B555D"/>
    <w:rsid w:val="001B7A6B"/>
    <w:rsid w:val="001B7C0A"/>
    <w:rsid w:val="001C1C39"/>
    <w:rsid w:val="001C717E"/>
    <w:rsid w:val="001C7BDB"/>
    <w:rsid w:val="001D5940"/>
    <w:rsid w:val="001E0BA4"/>
    <w:rsid w:val="001E202D"/>
    <w:rsid w:val="001E3752"/>
    <w:rsid w:val="001E76DB"/>
    <w:rsid w:val="001F5242"/>
    <w:rsid w:val="00206DB8"/>
    <w:rsid w:val="002109C6"/>
    <w:rsid w:val="0021210F"/>
    <w:rsid w:val="002234A1"/>
    <w:rsid w:val="00241C32"/>
    <w:rsid w:val="002669FC"/>
    <w:rsid w:val="0027166A"/>
    <w:rsid w:val="00276794"/>
    <w:rsid w:val="002846C4"/>
    <w:rsid w:val="00294284"/>
    <w:rsid w:val="002A38EA"/>
    <w:rsid w:val="002B1806"/>
    <w:rsid w:val="002B50DA"/>
    <w:rsid w:val="002C73E2"/>
    <w:rsid w:val="002D2254"/>
    <w:rsid w:val="0030016F"/>
    <w:rsid w:val="00302538"/>
    <w:rsid w:val="00306787"/>
    <w:rsid w:val="00313BCE"/>
    <w:rsid w:val="0031568E"/>
    <w:rsid w:val="003332EE"/>
    <w:rsid w:val="003401C8"/>
    <w:rsid w:val="003409A4"/>
    <w:rsid w:val="00342813"/>
    <w:rsid w:val="003609AB"/>
    <w:rsid w:val="00380A8E"/>
    <w:rsid w:val="0038551B"/>
    <w:rsid w:val="0039122B"/>
    <w:rsid w:val="003A2486"/>
    <w:rsid w:val="003B354B"/>
    <w:rsid w:val="003C4082"/>
    <w:rsid w:val="003E4A85"/>
    <w:rsid w:val="003E68B9"/>
    <w:rsid w:val="003E7F15"/>
    <w:rsid w:val="003F1CE8"/>
    <w:rsid w:val="004009F9"/>
    <w:rsid w:val="00414432"/>
    <w:rsid w:val="00414703"/>
    <w:rsid w:val="00414C70"/>
    <w:rsid w:val="00430181"/>
    <w:rsid w:val="004331A7"/>
    <w:rsid w:val="004335CB"/>
    <w:rsid w:val="00441672"/>
    <w:rsid w:val="004436A9"/>
    <w:rsid w:val="00445023"/>
    <w:rsid w:val="00450029"/>
    <w:rsid w:val="00473001"/>
    <w:rsid w:val="00473705"/>
    <w:rsid w:val="004851F5"/>
    <w:rsid w:val="00490424"/>
    <w:rsid w:val="00496F64"/>
    <w:rsid w:val="004A4CD3"/>
    <w:rsid w:val="004A6F16"/>
    <w:rsid w:val="004B4D7D"/>
    <w:rsid w:val="004B7C3B"/>
    <w:rsid w:val="004C530F"/>
    <w:rsid w:val="004C66EB"/>
    <w:rsid w:val="004E3228"/>
    <w:rsid w:val="00506486"/>
    <w:rsid w:val="00510EC8"/>
    <w:rsid w:val="005113EB"/>
    <w:rsid w:val="005142FC"/>
    <w:rsid w:val="00515600"/>
    <w:rsid w:val="0052736C"/>
    <w:rsid w:val="00534AA1"/>
    <w:rsid w:val="00550631"/>
    <w:rsid w:val="00552A70"/>
    <w:rsid w:val="00575CC6"/>
    <w:rsid w:val="00580162"/>
    <w:rsid w:val="0059024A"/>
    <w:rsid w:val="00596B89"/>
    <w:rsid w:val="005A2D35"/>
    <w:rsid w:val="005A664C"/>
    <w:rsid w:val="005B00C4"/>
    <w:rsid w:val="005B36AF"/>
    <w:rsid w:val="005B5367"/>
    <w:rsid w:val="005B6423"/>
    <w:rsid w:val="005C018C"/>
    <w:rsid w:val="005C7A91"/>
    <w:rsid w:val="005F04F6"/>
    <w:rsid w:val="005F1AF0"/>
    <w:rsid w:val="005F56F3"/>
    <w:rsid w:val="005F6073"/>
    <w:rsid w:val="00602465"/>
    <w:rsid w:val="00611AD1"/>
    <w:rsid w:val="00627853"/>
    <w:rsid w:val="00635014"/>
    <w:rsid w:val="00644115"/>
    <w:rsid w:val="00654059"/>
    <w:rsid w:val="0067085A"/>
    <w:rsid w:val="006733CF"/>
    <w:rsid w:val="00673A62"/>
    <w:rsid w:val="006804A6"/>
    <w:rsid w:val="00685E64"/>
    <w:rsid w:val="006935BF"/>
    <w:rsid w:val="006A2622"/>
    <w:rsid w:val="006C7CB9"/>
    <w:rsid w:val="006D12BD"/>
    <w:rsid w:val="006D4FCD"/>
    <w:rsid w:val="006F1FFC"/>
    <w:rsid w:val="006F3825"/>
    <w:rsid w:val="006F64BA"/>
    <w:rsid w:val="00710B2A"/>
    <w:rsid w:val="00726FDD"/>
    <w:rsid w:val="00732EDA"/>
    <w:rsid w:val="00747451"/>
    <w:rsid w:val="0075715A"/>
    <w:rsid w:val="0075782E"/>
    <w:rsid w:val="00757DFE"/>
    <w:rsid w:val="0077491C"/>
    <w:rsid w:val="007868DC"/>
    <w:rsid w:val="00794E11"/>
    <w:rsid w:val="007955B7"/>
    <w:rsid w:val="007A21E0"/>
    <w:rsid w:val="007A25D6"/>
    <w:rsid w:val="007C6CA1"/>
    <w:rsid w:val="007D068B"/>
    <w:rsid w:val="007D2234"/>
    <w:rsid w:val="007D757C"/>
    <w:rsid w:val="007E2928"/>
    <w:rsid w:val="0080026C"/>
    <w:rsid w:val="00802F87"/>
    <w:rsid w:val="00811ECF"/>
    <w:rsid w:val="008139B1"/>
    <w:rsid w:val="008142F6"/>
    <w:rsid w:val="008209BE"/>
    <w:rsid w:val="00824B49"/>
    <w:rsid w:val="008455DC"/>
    <w:rsid w:val="00845759"/>
    <w:rsid w:val="00845E01"/>
    <w:rsid w:val="008642D2"/>
    <w:rsid w:val="00866923"/>
    <w:rsid w:val="00872DD6"/>
    <w:rsid w:val="008817EE"/>
    <w:rsid w:val="00890B2D"/>
    <w:rsid w:val="008B2E68"/>
    <w:rsid w:val="008C2DE2"/>
    <w:rsid w:val="008C40FD"/>
    <w:rsid w:val="008D7DFF"/>
    <w:rsid w:val="008E114C"/>
    <w:rsid w:val="0090042E"/>
    <w:rsid w:val="00913A66"/>
    <w:rsid w:val="00921167"/>
    <w:rsid w:val="009322E3"/>
    <w:rsid w:val="0094447F"/>
    <w:rsid w:val="00947185"/>
    <w:rsid w:val="009558FC"/>
    <w:rsid w:val="00973969"/>
    <w:rsid w:val="0099061A"/>
    <w:rsid w:val="009B053E"/>
    <w:rsid w:val="009D15EB"/>
    <w:rsid w:val="009D225C"/>
    <w:rsid w:val="009E49D5"/>
    <w:rsid w:val="009F0CB8"/>
    <w:rsid w:val="009F3A43"/>
    <w:rsid w:val="009F3E69"/>
    <w:rsid w:val="00A01263"/>
    <w:rsid w:val="00A07720"/>
    <w:rsid w:val="00A15A76"/>
    <w:rsid w:val="00A16019"/>
    <w:rsid w:val="00A23581"/>
    <w:rsid w:val="00A34C2B"/>
    <w:rsid w:val="00A3693A"/>
    <w:rsid w:val="00A37422"/>
    <w:rsid w:val="00A54714"/>
    <w:rsid w:val="00A56142"/>
    <w:rsid w:val="00A578E3"/>
    <w:rsid w:val="00A7681E"/>
    <w:rsid w:val="00A823EC"/>
    <w:rsid w:val="00A848C0"/>
    <w:rsid w:val="00A8785F"/>
    <w:rsid w:val="00AA30D0"/>
    <w:rsid w:val="00AA3354"/>
    <w:rsid w:val="00AD77CC"/>
    <w:rsid w:val="00AE24AA"/>
    <w:rsid w:val="00AE3489"/>
    <w:rsid w:val="00B0583B"/>
    <w:rsid w:val="00B11272"/>
    <w:rsid w:val="00B113B1"/>
    <w:rsid w:val="00B20758"/>
    <w:rsid w:val="00B20D4B"/>
    <w:rsid w:val="00B21E53"/>
    <w:rsid w:val="00B352D1"/>
    <w:rsid w:val="00B429E1"/>
    <w:rsid w:val="00B43AA1"/>
    <w:rsid w:val="00B4466A"/>
    <w:rsid w:val="00B62FD3"/>
    <w:rsid w:val="00B63862"/>
    <w:rsid w:val="00B665E5"/>
    <w:rsid w:val="00B67DD9"/>
    <w:rsid w:val="00BA2FA9"/>
    <w:rsid w:val="00BB0373"/>
    <w:rsid w:val="00BB125F"/>
    <w:rsid w:val="00BB7F8C"/>
    <w:rsid w:val="00BD2690"/>
    <w:rsid w:val="00BF6704"/>
    <w:rsid w:val="00C03DAE"/>
    <w:rsid w:val="00C12E7D"/>
    <w:rsid w:val="00C149FB"/>
    <w:rsid w:val="00C33C37"/>
    <w:rsid w:val="00C42E80"/>
    <w:rsid w:val="00C46946"/>
    <w:rsid w:val="00C661EC"/>
    <w:rsid w:val="00C74AFA"/>
    <w:rsid w:val="00C768B8"/>
    <w:rsid w:val="00C84530"/>
    <w:rsid w:val="00CA200C"/>
    <w:rsid w:val="00CA3B59"/>
    <w:rsid w:val="00CB13F5"/>
    <w:rsid w:val="00CB4084"/>
    <w:rsid w:val="00CB54F6"/>
    <w:rsid w:val="00CC07B9"/>
    <w:rsid w:val="00CC7863"/>
    <w:rsid w:val="00CD2AC3"/>
    <w:rsid w:val="00CD4E53"/>
    <w:rsid w:val="00CE50E3"/>
    <w:rsid w:val="00CF0619"/>
    <w:rsid w:val="00CF4513"/>
    <w:rsid w:val="00CF6DA3"/>
    <w:rsid w:val="00D015B5"/>
    <w:rsid w:val="00D25AA3"/>
    <w:rsid w:val="00D369D8"/>
    <w:rsid w:val="00D511BB"/>
    <w:rsid w:val="00D51FEB"/>
    <w:rsid w:val="00D75C24"/>
    <w:rsid w:val="00D828DA"/>
    <w:rsid w:val="00DA1033"/>
    <w:rsid w:val="00DB4C4D"/>
    <w:rsid w:val="00DB796B"/>
    <w:rsid w:val="00DD137A"/>
    <w:rsid w:val="00DF1641"/>
    <w:rsid w:val="00DF3F5B"/>
    <w:rsid w:val="00E122E0"/>
    <w:rsid w:val="00E23D86"/>
    <w:rsid w:val="00E249A1"/>
    <w:rsid w:val="00E401FA"/>
    <w:rsid w:val="00E42178"/>
    <w:rsid w:val="00E45907"/>
    <w:rsid w:val="00E50187"/>
    <w:rsid w:val="00E64B20"/>
    <w:rsid w:val="00E653F8"/>
    <w:rsid w:val="00E67C3F"/>
    <w:rsid w:val="00E7188E"/>
    <w:rsid w:val="00E73222"/>
    <w:rsid w:val="00E9601A"/>
    <w:rsid w:val="00EA06AD"/>
    <w:rsid w:val="00EA136E"/>
    <w:rsid w:val="00EA4970"/>
    <w:rsid w:val="00EB1DA9"/>
    <w:rsid w:val="00EC484B"/>
    <w:rsid w:val="00EC7DCF"/>
    <w:rsid w:val="00EE73FF"/>
    <w:rsid w:val="00EF2F68"/>
    <w:rsid w:val="00EF4AED"/>
    <w:rsid w:val="00EF78AA"/>
    <w:rsid w:val="00F072B8"/>
    <w:rsid w:val="00F140FA"/>
    <w:rsid w:val="00F14C9E"/>
    <w:rsid w:val="00F30EF3"/>
    <w:rsid w:val="00F62F8C"/>
    <w:rsid w:val="00F646F2"/>
    <w:rsid w:val="00F7035D"/>
    <w:rsid w:val="00F71952"/>
    <w:rsid w:val="00F86132"/>
    <w:rsid w:val="00FA028B"/>
    <w:rsid w:val="00FA488E"/>
    <w:rsid w:val="00FB175E"/>
    <w:rsid w:val="00FB6C94"/>
    <w:rsid w:val="00FB6DB7"/>
    <w:rsid w:val="00FC0CAC"/>
    <w:rsid w:val="00FD6C65"/>
    <w:rsid w:val="00FE48DA"/>
    <w:rsid w:val="00FE64E7"/>
    <w:rsid w:val="00FE67EA"/>
    <w:rsid w:val="00FF2302"/>
    <w:rsid w:val="00FF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3E58C"/>
  <w15:docId w15:val="{C0B02C9C-F75F-4372-B5C5-AEDBB859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FD3"/>
    <w:pPr>
      <w:tabs>
        <w:tab w:val="center" w:pos="4680"/>
        <w:tab w:val="right" w:pos="9360"/>
      </w:tabs>
      <w:spacing w:line="240" w:lineRule="auto"/>
    </w:pPr>
  </w:style>
  <w:style w:type="character" w:customStyle="1" w:styleId="HeaderChar">
    <w:name w:val="Header Char"/>
    <w:basedOn w:val="DefaultParagraphFont"/>
    <w:link w:val="Header"/>
    <w:uiPriority w:val="99"/>
    <w:rsid w:val="00B62FD3"/>
  </w:style>
  <w:style w:type="paragraph" w:styleId="Footer">
    <w:name w:val="footer"/>
    <w:basedOn w:val="Normal"/>
    <w:link w:val="FooterChar"/>
    <w:uiPriority w:val="99"/>
    <w:unhideWhenUsed/>
    <w:rsid w:val="00B62FD3"/>
    <w:pPr>
      <w:tabs>
        <w:tab w:val="center" w:pos="4680"/>
        <w:tab w:val="right" w:pos="9360"/>
      </w:tabs>
      <w:spacing w:line="240" w:lineRule="auto"/>
    </w:pPr>
  </w:style>
  <w:style w:type="character" w:customStyle="1" w:styleId="FooterChar">
    <w:name w:val="Footer Char"/>
    <w:basedOn w:val="DefaultParagraphFont"/>
    <w:link w:val="Footer"/>
    <w:uiPriority w:val="99"/>
    <w:rsid w:val="00B62FD3"/>
  </w:style>
  <w:style w:type="paragraph" w:customStyle="1" w:styleId="SubheadLevel1">
    <w:name w:val="Subhead Level 1"/>
    <w:basedOn w:val="Normal"/>
    <w:uiPriority w:val="99"/>
    <w:rsid w:val="00B62FD3"/>
    <w:pPr>
      <w:suppressAutoHyphens/>
      <w:autoSpaceDE w:val="0"/>
      <w:autoSpaceDN w:val="0"/>
      <w:adjustRightInd w:val="0"/>
      <w:spacing w:before="360" w:line="288" w:lineRule="auto"/>
      <w:textAlignment w:val="center"/>
    </w:pPr>
    <w:rPr>
      <w:rFonts w:ascii="Myriad Pro" w:hAnsi="Myriad Pro" w:cs="Myriad Pro"/>
      <w:b/>
      <w:bCs/>
      <w:caps/>
      <w:color w:val="0598FF"/>
      <w:sz w:val="28"/>
      <w:szCs w:val="28"/>
    </w:rPr>
  </w:style>
  <w:style w:type="paragraph" w:customStyle="1" w:styleId="SubheadLevel2">
    <w:name w:val="Subhead Level 2"/>
    <w:basedOn w:val="Normal"/>
    <w:uiPriority w:val="99"/>
    <w:rsid w:val="00B62FD3"/>
    <w:pPr>
      <w:suppressAutoHyphens/>
      <w:autoSpaceDE w:val="0"/>
      <w:autoSpaceDN w:val="0"/>
      <w:adjustRightInd w:val="0"/>
      <w:spacing w:before="133" w:line="288" w:lineRule="auto"/>
      <w:textAlignment w:val="center"/>
    </w:pPr>
    <w:rPr>
      <w:rFonts w:ascii="Myriad Pro" w:hAnsi="Myriad Pro" w:cs="Myriad Pro"/>
      <w:b/>
      <w:bCs/>
      <w:color w:val="000000"/>
    </w:rPr>
  </w:style>
  <w:style w:type="paragraph" w:customStyle="1" w:styleId="BodyCopy">
    <w:name w:val="Body Copy"/>
    <w:basedOn w:val="Normal"/>
    <w:uiPriority w:val="99"/>
    <w:rsid w:val="00B62FD3"/>
    <w:pPr>
      <w:suppressAutoHyphens/>
      <w:autoSpaceDE w:val="0"/>
      <w:autoSpaceDN w:val="0"/>
      <w:adjustRightInd w:val="0"/>
      <w:spacing w:before="90" w:line="288" w:lineRule="auto"/>
      <w:textAlignment w:val="center"/>
    </w:pPr>
    <w:rPr>
      <w:rFonts w:ascii="Myriad Pro" w:hAnsi="Myriad Pro" w:cs="Myriad Pro"/>
      <w:color w:val="000000"/>
      <w:sz w:val="20"/>
      <w:szCs w:val="20"/>
    </w:rPr>
  </w:style>
  <w:style w:type="paragraph" w:customStyle="1" w:styleId="Bullets">
    <w:name w:val="Bullets"/>
    <w:basedOn w:val="BodyCopy"/>
    <w:uiPriority w:val="99"/>
    <w:rsid w:val="00B62FD3"/>
    <w:pPr>
      <w:ind w:left="108" w:hanging="108"/>
    </w:pPr>
  </w:style>
  <w:style w:type="paragraph" w:styleId="BalloonText">
    <w:name w:val="Balloon Text"/>
    <w:basedOn w:val="Normal"/>
    <w:link w:val="BalloonTextChar"/>
    <w:uiPriority w:val="99"/>
    <w:semiHidden/>
    <w:unhideWhenUsed/>
    <w:rsid w:val="007955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5B7"/>
    <w:rPr>
      <w:rFonts w:ascii="Tahoma" w:hAnsi="Tahoma" w:cs="Tahoma"/>
      <w:sz w:val="16"/>
      <w:szCs w:val="16"/>
    </w:rPr>
  </w:style>
  <w:style w:type="paragraph" w:customStyle="1" w:styleId="Byline">
    <w:name w:val="Byline"/>
    <w:basedOn w:val="Normal"/>
    <w:rsid w:val="00034E74"/>
    <w:pPr>
      <w:spacing w:line="180" w:lineRule="atLeast"/>
    </w:pPr>
    <w:rPr>
      <w:rFonts w:ascii="Arial" w:eastAsia="Times New Roman" w:hAnsi="Arial" w:cs="Times New Roman"/>
      <w:b/>
      <w:color w:val="808080"/>
      <w:sz w:val="20"/>
      <w:szCs w:val="24"/>
    </w:rPr>
  </w:style>
  <w:style w:type="table" w:styleId="TableGrid">
    <w:name w:val="Table Grid"/>
    <w:basedOn w:val="TableNormal"/>
    <w:uiPriority w:val="59"/>
    <w:rsid w:val="003332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332EE"/>
    <w:pPr>
      <w:ind w:left="720"/>
      <w:contextualSpacing/>
    </w:pPr>
  </w:style>
  <w:style w:type="paragraph" w:customStyle="1" w:styleId="MonthDayYear">
    <w:name w:val="Month Day Year"/>
    <w:basedOn w:val="Normal"/>
    <w:rsid w:val="00890B2D"/>
    <w:pPr>
      <w:spacing w:line="240" w:lineRule="atLeast"/>
      <w:jc w:val="right"/>
    </w:pPr>
    <w:rPr>
      <w:rFonts w:ascii="Helvetica" w:eastAsia="Times New Roman" w:hAnsi="Helvetica" w:cs="Times New Roman"/>
      <w:b/>
      <w:color w:val="231F20"/>
      <w:sz w:val="20"/>
      <w:szCs w:val="24"/>
    </w:rPr>
  </w:style>
  <w:style w:type="character" w:styleId="Hyperlink">
    <w:name w:val="Hyperlink"/>
    <w:uiPriority w:val="99"/>
    <w:rsid w:val="00890B2D"/>
    <w:rPr>
      <w:color w:val="0000FF"/>
      <w:u w:val="single"/>
    </w:rPr>
  </w:style>
  <w:style w:type="character" w:customStyle="1" w:styleId="ListParagraphChar">
    <w:name w:val="List Paragraph Char"/>
    <w:link w:val="ListParagraph"/>
    <w:uiPriority w:val="34"/>
    <w:locked/>
    <w:rsid w:val="00890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307676">
      <w:bodyDiv w:val="1"/>
      <w:marLeft w:val="0"/>
      <w:marRight w:val="0"/>
      <w:marTop w:val="0"/>
      <w:marBottom w:val="0"/>
      <w:divBdr>
        <w:top w:val="none" w:sz="0" w:space="0" w:color="auto"/>
        <w:left w:val="none" w:sz="0" w:space="0" w:color="auto"/>
        <w:bottom w:val="none" w:sz="0" w:space="0" w:color="auto"/>
        <w:right w:val="none" w:sz="0" w:space="0" w:color="auto"/>
      </w:divBdr>
    </w:div>
    <w:div w:id="1620264181">
      <w:bodyDiv w:val="1"/>
      <w:marLeft w:val="0"/>
      <w:marRight w:val="0"/>
      <w:marTop w:val="0"/>
      <w:marBottom w:val="0"/>
      <w:divBdr>
        <w:top w:val="none" w:sz="0" w:space="0" w:color="auto"/>
        <w:left w:val="none" w:sz="0" w:space="0" w:color="auto"/>
        <w:bottom w:val="none" w:sz="0" w:space="0" w:color="auto"/>
        <w:right w:val="none" w:sz="0" w:space="0" w:color="auto"/>
      </w:divBdr>
    </w:div>
    <w:div w:id="176445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risensonfinancia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arketing%20Collateral%20&amp;%20Company%20Templates\Company%20Templates%20-%20RPAG\RPAG%20Multi%20Pager%20Template%20Gra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RPAG Multi Pager Template Gray</Template>
  <TotalTime>1</TotalTime>
  <Pages>1</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401K Advisors</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Schiavo, Michelle</dc:creator>
  <cp:lastModifiedBy>Kevin Donahue</cp:lastModifiedBy>
  <cp:revision>2</cp:revision>
  <dcterms:created xsi:type="dcterms:W3CDTF">2019-11-26T14:34:00Z</dcterms:created>
  <dcterms:modified xsi:type="dcterms:W3CDTF">2019-11-26T14:34:00Z</dcterms:modified>
</cp:coreProperties>
</file>